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楷体_GB2312" w:hAnsi="Times New Roman" w:eastAsia="楷体_GB2312" w:cs="楷体_GB2312"/>
          <w:b/>
          <w:bCs/>
          <w:color w:val="FF0000"/>
          <w:sz w:val="72"/>
          <w:szCs w:val="72"/>
        </w:rPr>
      </w:pPr>
      <w:r>
        <w:rPr>
          <w:rFonts w:hint="eastAsia" w:ascii="楷体_GB2312" w:hAnsi="Times New Roman" w:eastAsia="楷体_GB2312" w:cs="楷体_GB2312"/>
          <w:b/>
          <w:bCs/>
          <w:color w:val="FF0000"/>
          <w:sz w:val="72"/>
          <w:szCs w:val="72"/>
        </w:rPr>
        <w:t>江西财经大学研究生培养</w:t>
      </w:r>
    </w:p>
    <w:p>
      <w:pPr>
        <w:spacing w:line="240" w:lineRule="auto"/>
        <w:jc w:val="center"/>
        <w:rPr>
          <w:rFonts w:ascii="楷体_GB2312" w:hAnsi="宋体" w:eastAsia="楷体_GB2312" w:cs="楷体_GB2312"/>
          <w:b/>
          <w:bCs/>
          <w:color w:val="FF0000"/>
          <w:sz w:val="84"/>
          <w:szCs w:val="84"/>
        </w:rPr>
      </w:pPr>
      <w:r>
        <w:rPr>
          <w:rFonts w:hint="eastAsia" w:ascii="楷体_GB2312" w:hAnsi="宋体" w:eastAsia="楷体_GB2312" w:cs="楷体_GB2312"/>
          <w:b/>
          <w:bCs/>
          <w:color w:val="FF0000"/>
          <w:sz w:val="84"/>
          <w:szCs w:val="84"/>
        </w:rPr>
        <w:t>督 导 简 报</w:t>
      </w:r>
    </w:p>
    <w:p>
      <w:pPr>
        <w:spacing w:line="360" w:lineRule="auto"/>
        <w:jc w:val="center"/>
        <w:rPr>
          <w:rFonts w:ascii="宋体" w:hAnsi="宋体" w:cs="Times New Roman"/>
          <w:sz w:val="28"/>
          <w:szCs w:val="28"/>
        </w:rPr>
      </w:pPr>
    </w:p>
    <w:p>
      <w:pPr>
        <w:spacing w:line="580" w:lineRule="exact"/>
        <w:jc w:val="center"/>
        <w:rPr>
          <w:rFonts w:ascii="宋体" w:hAnsi="宋体" w:cs="Times New Roman"/>
          <w:sz w:val="28"/>
          <w:szCs w:val="28"/>
        </w:rPr>
      </w:pPr>
      <w:r>
        <w:rPr>
          <w:rFonts w:hint="eastAsia" w:ascii="仿宋_GB2312" w:eastAsia="仿宋_GB2312" w:cs="仿宋_GB2312"/>
          <w:b/>
          <w:bCs/>
          <w:sz w:val="36"/>
          <w:szCs w:val="36"/>
        </w:rPr>
        <w:t>第40期</w:t>
      </w:r>
    </w:p>
    <w:p>
      <w:pPr>
        <w:tabs>
          <w:tab w:val="left" w:pos="4140"/>
        </w:tabs>
        <w:spacing w:line="580" w:lineRule="exact"/>
        <w:rPr>
          <w:rFonts w:ascii="楷体_GB2312" w:eastAsia="楷体_GB2312" w:cs="Times New Roman"/>
          <w:b/>
          <w:bCs/>
          <w:sz w:val="32"/>
          <w:szCs w:val="32"/>
        </w:rPr>
      </w:pPr>
      <w:r>
        <w:rPr>
          <w:rFonts w:hint="eastAsia" w:ascii="楷体_GB2312" w:eastAsia="楷体_GB2312" w:cs="楷体_GB2312"/>
          <w:b/>
          <w:bCs/>
          <w:sz w:val="32"/>
          <w:szCs w:val="32"/>
        </w:rPr>
        <w:t>江西财经大学研究生培养督导组</w:t>
      </w:r>
      <w:r>
        <w:rPr>
          <w:rFonts w:ascii="楷体_GB2312" w:eastAsia="楷体_GB2312" w:cs="楷体_GB2312"/>
          <w:b/>
          <w:bCs/>
          <w:sz w:val="32"/>
          <w:szCs w:val="32"/>
        </w:rPr>
        <w:t xml:space="preserve">          </w:t>
      </w:r>
      <w:r>
        <w:rPr>
          <w:rFonts w:hint="eastAsia" w:ascii="楷体_GB2312" w:eastAsia="楷体_GB2312" w:cs="楷体_GB2312"/>
          <w:b/>
          <w:bCs/>
          <w:sz w:val="32"/>
          <w:szCs w:val="32"/>
        </w:rPr>
        <w:t xml:space="preserve"> </w:t>
      </w:r>
      <w:r>
        <w:rPr>
          <w:rFonts w:ascii="楷体_GB2312" w:eastAsia="楷体_GB2312" w:cs="楷体_GB2312"/>
          <w:b/>
          <w:bCs/>
          <w:sz w:val="32"/>
          <w:szCs w:val="32"/>
        </w:rPr>
        <w:t xml:space="preserve"> 20</w:t>
      </w:r>
      <w:r>
        <w:rPr>
          <w:rFonts w:hint="eastAsia" w:ascii="楷体_GB2312" w:eastAsia="楷体_GB2312" w:cs="楷体_GB2312"/>
          <w:b/>
          <w:bCs/>
          <w:sz w:val="32"/>
          <w:szCs w:val="32"/>
        </w:rPr>
        <w:t>20年11月</w:t>
      </w:r>
    </w:p>
    <w:p>
      <w:pPr>
        <w:spacing w:line="560" w:lineRule="exact"/>
        <w:rPr>
          <w:rFonts w:ascii="仿宋_GB2312" w:eastAsia="仿宋_GB2312" w:cs="仿宋_GB2312"/>
          <w:sz w:val="28"/>
          <w:szCs w:val="28"/>
        </w:rPr>
      </w:pPr>
      <w:r>
        <w:rPr>
          <w:rFonts w:cs="Times New Roman"/>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52705</wp:posOffset>
                </wp:positionV>
                <wp:extent cx="5600700"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15pt;height:0pt;width:441pt;z-index:251659264;mso-width-relative:page;mso-height-relative:page;" filled="f" stroked="t" coordsize="21600,21600" o:gfxdata="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DgLJk0wAAAAQBAAAPAAAAAAAAAAEAIAAAACIAAABkcnMvZG93bnJldi54bWxQSwECFAAUAAAA&#10;CACHTuJA8QDRbPMBAADnAwAADgAAAAAAAAABACAAAAAiAQAAZHJzL2Uyb0RvYy54bWxQSwUGAAAA&#10;AAYABgBZAQAAhwUAAAAA&#10;">
                <v:fill on="f" focussize="0,0"/>
                <v:stroke weight="1.5pt" color="#FF0000" joinstyle="round"/>
                <v:imagedata o:title=""/>
                <o:lock v:ext="edit" aspectratio="f"/>
              </v:line>
            </w:pict>
          </mc:Fallback>
        </mc:AlternateContent>
      </w:r>
    </w:p>
    <w:p>
      <w:pPr>
        <w:spacing w:before="156" w:beforeLines="50" w:line="360" w:lineRule="auto"/>
        <w:ind w:firstLine="560" w:firstLineChars="200"/>
        <w:rPr>
          <w:rFonts w:ascii="楷体_GB2312" w:eastAsia="楷体_GB2312" w:cs="楷体_GB2312"/>
          <w:bCs/>
          <w:sz w:val="28"/>
          <w:szCs w:val="32"/>
        </w:rPr>
      </w:pPr>
      <w:r>
        <w:rPr>
          <w:rFonts w:hint="eastAsia" w:ascii="楷体_GB2312" w:eastAsia="楷体_GB2312" w:cs="楷体_GB2312"/>
          <w:bCs/>
          <w:sz w:val="28"/>
          <w:szCs w:val="32"/>
        </w:rPr>
        <w:t>期末将至，研究生培养的各项工作都在有条不紊地进行。近期，研究生培养督导组重点对课堂教学、听课质量及研究生答辩会情况进行了督查，并针对现场问题进行了及时处理。此外，对于</w:t>
      </w:r>
      <w:r>
        <w:rPr>
          <w:rFonts w:hint="eastAsia" w:ascii="楷体_GB2312" w:eastAsia="楷体_GB2312" w:cs="楷体_GB2312"/>
          <w:bCs/>
          <w:sz w:val="28"/>
          <w:szCs w:val="32"/>
          <w:lang w:val="en-US" w:eastAsia="zh-CN"/>
        </w:rPr>
        <w:t>方法类课程教学进行调研，今推荐</w:t>
      </w:r>
      <w:r>
        <w:rPr>
          <w:rFonts w:hint="eastAsia" w:ascii="楷体_GB2312" w:eastAsia="楷体_GB2312" w:cs="楷体_GB2312"/>
          <w:bCs/>
          <w:sz w:val="28"/>
          <w:szCs w:val="32"/>
        </w:rPr>
        <w:t>会计学院熊家财老师的授课经验</w:t>
      </w:r>
      <w:r>
        <w:rPr>
          <w:rFonts w:hint="eastAsia" w:ascii="楷体_GB2312" w:eastAsia="楷体_GB2312" w:cs="楷体_GB2312"/>
          <w:bCs/>
          <w:sz w:val="28"/>
          <w:szCs w:val="32"/>
          <w:lang w:val="en-US" w:eastAsia="zh-CN"/>
        </w:rPr>
        <w:t>予以</w:t>
      </w:r>
      <w:bookmarkStart w:id="0" w:name="_GoBack"/>
      <w:bookmarkEnd w:id="0"/>
      <w:r>
        <w:rPr>
          <w:rFonts w:hint="eastAsia" w:ascii="楷体_GB2312" w:eastAsia="楷体_GB2312" w:cs="楷体_GB2312"/>
          <w:bCs/>
          <w:sz w:val="28"/>
          <w:szCs w:val="32"/>
        </w:rPr>
        <w:t>分享。</w:t>
      </w:r>
    </w:p>
    <w:p>
      <w:pPr>
        <w:spacing w:line="360" w:lineRule="auto"/>
        <w:ind w:firstLine="560" w:firstLineChars="200"/>
        <w:rPr>
          <w:rFonts w:ascii="楷体_GB2312" w:eastAsia="楷体_GB2312" w:cs="楷体_GB2312"/>
          <w:bCs/>
          <w:sz w:val="28"/>
          <w:szCs w:val="32"/>
        </w:rPr>
      </w:pPr>
    </w:p>
    <w:p>
      <w:pPr>
        <w:spacing w:line="360" w:lineRule="auto"/>
        <w:ind w:firstLine="602" w:firstLineChars="200"/>
        <w:rPr>
          <w:rFonts w:ascii="黑体" w:hAnsi="黑体" w:eastAsia="黑体"/>
          <w:b/>
          <w:bCs/>
          <w:sz w:val="30"/>
          <w:szCs w:val="30"/>
        </w:rPr>
      </w:pPr>
      <w:r>
        <w:rPr>
          <w:rFonts w:hint="eastAsia" w:ascii="黑体" w:hAnsi="黑体" w:eastAsia="黑体"/>
          <w:b/>
          <w:bCs/>
          <w:sz w:val="30"/>
          <w:szCs w:val="30"/>
        </w:rPr>
        <w:t>一、课堂教学、听课质量检查</w:t>
      </w:r>
    </w:p>
    <w:p>
      <w:pPr>
        <w:snapToGrid w:val="0"/>
        <w:spacing w:before="156" w:beforeLines="50" w:line="360" w:lineRule="auto"/>
        <w:ind w:firstLine="562" w:firstLineChars="200"/>
        <w:rPr>
          <w:rFonts w:ascii="仿宋_GB2312" w:eastAsia="仿宋_GB2312" w:cs="仿宋_GB2312"/>
          <w:b/>
          <w:sz w:val="28"/>
          <w:szCs w:val="28"/>
        </w:rPr>
      </w:pPr>
      <w:r>
        <w:rPr>
          <w:rFonts w:hint="eastAsia" w:ascii="仿宋_GB2312" w:eastAsia="仿宋_GB2312" w:cs="仿宋_GB2312"/>
          <w:b/>
          <w:sz w:val="28"/>
          <w:szCs w:val="28"/>
        </w:rPr>
        <w:t>（一）总体情况</w:t>
      </w:r>
    </w:p>
    <w:p>
      <w:pPr>
        <w:snapToGrid w:val="0"/>
        <w:spacing w:line="360" w:lineRule="auto"/>
        <w:ind w:firstLine="560" w:firstLineChars="200"/>
        <w:rPr>
          <w:rFonts w:ascii="仿宋_GB2312" w:eastAsia="仿宋_GB2312" w:cs="仿宋_GB2312"/>
          <w:sz w:val="28"/>
          <w:szCs w:val="28"/>
        </w:rPr>
      </w:pPr>
      <w:r>
        <w:rPr>
          <w:rFonts w:hint="eastAsia" w:ascii="仿宋_GB2312" w:eastAsia="仿宋_GB2312" w:cs="仿宋_GB2312"/>
          <w:sz w:val="28"/>
          <w:szCs w:val="28"/>
        </w:rPr>
        <w:t>从检查情况来看，各培养单位和大多数老师都很重视研究生教学督导工作，各项教学设施运行基本正常，教学秩序较以往有大的好转，教师上课水平比以往有较大提升，课堂教学质量显著提高，教学总体情况较好。</w:t>
      </w:r>
    </w:p>
    <w:p>
      <w:pPr>
        <w:snapToGrid w:val="0"/>
        <w:spacing w:line="360" w:lineRule="auto"/>
        <w:ind w:firstLine="560" w:firstLineChars="200"/>
        <w:rPr>
          <w:rFonts w:ascii="仿宋_GB2312" w:eastAsia="仿宋_GB2312" w:cs="仿宋_GB2312"/>
          <w:sz w:val="28"/>
          <w:szCs w:val="28"/>
        </w:rPr>
      </w:pPr>
      <w:r>
        <w:rPr>
          <w:rFonts w:hint="eastAsia" w:ascii="仿宋_GB2312" w:eastAsia="仿宋_GB2312" w:cs="仿宋_GB2312"/>
          <w:sz w:val="28"/>
          <w:szCs w:val="28"/>
        </w:rPr>
        <w:t>1.所有课程的任课教师均能够按照教学安排的时间和地点提前到岗、准备充分、授课认真。</w:t>
      </w:r>
    </w:p>
    <w:p>
      <w:pPr>
        <w:snapToGrid w:val="0"/>
        <w:spacing w:line="360" w:lineRule="auto"/>
        <w:ind w:firstLine="560" w:firstLineChars="200"/>
        <w:rPr>
          <w:rFonts w:ascii="仿宋_GB2312" w:eastAsia="仿宋_GB2312" w:cs="仿宋_GB2312"/>
          <w:sz w:val="28"/>
          <w:szCs w:val="28"/>
        </w:rPr>
      </w:pPr>
      <w:r>
        <w:rPr>
          <w:rFonts w:hint="eastAsia" w:ascii="仿宋_GB2312" w:eastAsia="仿宋_GB2312" w:cs="仿宋_GB2312"/>
          <w:sz w:val="28"/>
          <w:szCs w:val="28"/>
        </w:rPr>
        <w:t>2.学生到课率高、注意力集中。</w:t>
      </w:r>
    </w:p>
    <w:p>
      <w:pPr>
        <w:snapToGrid w:val="0"/>
        <w:spacing w:line="360" w:lineRule="auto"/>
        <w:ind w:firstLine="560" w:firstLineChars="200"/>
        <w:rPr>
          <w:rFonts w:ascii="仿宋_GB2312" w:eastAsia="仿宋_GB2312" w:cs="仿宋_GB2312"/>
          <w:sz w:val="28"/>
          <w:szCs w:val="28"/>
        </w:rPr>
      </w:pPr>
      <w:r>
        <w:rPr>
          <w:rFonts w:hint="eastAsia" w:ascii="仿宋_GB2312" w:eastAsia="仿宋_GB2312" w:cs="仿宋_GB2312"/>
          <w:sz w:val="28"/>
          <w:szCs w:val="28"/>
        </w:rPr>
        <w:t>3.教学过程中师生有交流、讨论，教学效果较好。</w:t>
      </w:r>
    </w:p>
    <w:p>
      <w:pPr>
        <w:snapToGrid w:val="0"/>
        <w:spacing w:line="360" w:lineRule="auto"/>
        <w:ind w:firstLine="560" w:firstLineChars="200"/>
        <w:rPr>
          <w:rFonts w:ascii="仿宋_GB2312" w:eastAsia="仿宋_GB2312" w:cs="仿宋_GB2312"/>
          <w:sz w:val="28"/>
          <w:szCs w:val="28"/>
        </w:rPr>
      </w:pPr>
      <w:r>
        <w:rPr>
          <w:rFonts w:hint="eastAsia" w:ascii="仿宋_GB2312" w:eastAsia="仿宋_GB2312" w:cs="仿宋_GB2312"/>
          <w:sz w:val="28"/>
          <w:szCs w:val="28"/>
        </w:rPr>
        <w:t>4.各学位点都比较重视学科研究方法的教学，均开设有专门的方法论的课程。</w:t>
      </w:r>
    </w:p>
    <w:p>
      <w:pPr>
        <w:snapToGrid w:val="0"/>
        <w:spacing w:line="360" w:lineRule="auto"/>
        <w:ind w:firstLine="560" w:firstLineChars="200"/>
        <w:rPr>
          <w:rFonts w:ascii="仿宋_GB2312" w:eastAsia="仿宋_GB2312" w:cs="仿宋_GB2312"/>
          <w:sz w:val="28"/>
          <w:szCs w:val="28"/>
        </w:rPr>
      </w:pPr>
      <w:r>
        <w:rPr>
          <w:rFonts w:hint="eastAsia" w:ascii="仿宋_GB2312" w:eastAsia="仿宋_GB2312" w:cs="仿宋_GB2312"/>
          <w:sz w:val="28"/>
          <w:szCs w:val="28"/>
        </w:rPr>
        <w:t>5.除了课堂教学外，部分学院的教师，通过开办读书会的方式，指定学生阅读专业书籍、专业论文，并做主题发言，指导老师可以及时进行点拨，有利于研究生对专业研究方法更好的领会和掌握，值得学习。</w:t>
      </w:r>
    </w:p>
    <w:p>
      <w:pPr>
        <w:snapToGrid w:val="0"/>
        <w:spacing w:before="156" w:beforeLines="50" w:line="360" w:lineRule="auto"/>
        <w:ind w:firstLine="562" w:firstLineChars="200"/>
        <w:rPr>
          <w:rFonts w:ascii="仿宋_GB2312" w:eastAsia="仿宋_GB2312" w:cs="仿宋_GB2312"/>
          <w:b/>
          <w:sz w:val="28"/>
          <w:szCs w:val="28"/>
        </w:rPr>
      </w:pPr>
      <w:r>
        <w:rPr>
          <w:rFonts w:hint="eastAsia" w:ascii="仿宋_GB2312" w:eastAsia="仿宋_GB2312" w:cs="仿宋_GB2312"/>
          <w:b/>
          <w:sz w:val="28"/>
          <w:szCs w:val="28"/>
        </w:rPr>
        <w:t>（二）问题</w:t>
      </w:r>
    </w:p>
    <w:p>
      <w:pPr>
        <w:snapToGrid w:val="0"/>
        <w:spacing w:line="360" w:lineRule="auto"/>
        <w:ind w:firstLine="560" w:firstLineChars="200"/>
        <w:rPr>
          <w:rFonts w:ascii="仿宋_GB2312" w:eastAsia="仿宋_GB2312" w:cs="仿宋_GB2312"/>
          <w:sz w:val="28"/>
          <w:szCs w:val="28"/>
        </w:rPr>
      </w:pPr>
      <w:r>
        <w:rPr>
          <w:rFonts w:hint="eastAsia" w:ascii="仿宋_GB2312" w:eastAsia="仿宋_GB2312" w:cs="仿宋_GB2312"/>
          <w:sz w:val="28"/>
          <w:szCs w:val="28"/>
        </w:rPr>
        <w:t>教学质量虽然总体情况较高，但在本次检查过程中，仍存在一些问题，主要体现在以下几个方面。</w:t>
      </w:r>
    </w:p>
    <w:p>
      <w:pPr>
        <w:snapToGrid w:val="0"/>
        <w:spacing w:line="360" w:lineRule="auto"/>
        <w:ind w:firstLine="560" w:firstLineChars="200"/>
        <w:rPr>
          <w:rFonts w:ascii="仿宋_GB2312" w:eastAsia="仿宋_GB2312" w:cs="仿宋_GB2312"/>
          <w:sz w:val="28"/>
          <w:szCs w:val="28"/>
        </w:rPr>
      </w:pPr>
      <w:r>
        <w:rPr>
          <w:rFonts w:hint="eastAsia" w:ascii="仿宋_GB2312" w:eastAsia="仿宋_GB2312" w:cs="仿宋_GB2312"/>
          <w:sz w:val="28"/>
          <w:szCs w:val="28"/>
        </w:rPr>
        <w:t>1.教学安排变更情况较多。包括调教学地点、上课时间、顺延上课时间等现象比较频繁。</w:t>
      </w:r>
    </w:p>
    <w:p>
      <w:pPr>
        <w:snapToGrid w:val="0"/>
        <w:spacing w:line="360" w:lineRule="auto"/>
        <w:ind w:firstLine="560" w:firstLineChars="200"/>
        <w:rPr>
          <w:rFonts w:ascii="仿宋_GB2312" w:eastAsia="仿宋_GB2312" w:cs="仿宋_GB2312"/>
          <w:sz w:val="28"/>
          <w:szCs w:val="28"/>
        </w:rPr>
      </w:pPr>
      <w:r>
        <w:rPr>
          <w:rFonts w:hint="eastAsia" w:ascii="仿宋_GB2312" w:eastAsia="仿宋_GB2312" w:cs="仿宋_GB2312"/>
          <w:sz w:val="28"/>
          <w:szCs w:val="28"/>
        </w:rPr>
        <w:t>2.个别教师在讲课中脱离实际，师生互动较少。</w:t>
      </w:r>
    </w:p>
    <w:p>
      <w:pPr>
        <w:snapToGrid w:val="0"/>
        <w:spacing w:line="360" w:lineRule="auto"/>
        <w:ind w:firstLine="560" w:firstLineChars="200"/>
        <w:rPr>
          <w:rFonts w:ascii="仿宋_GB2312" w:eastAsia="仿宋_GB2312" w:cs="仿宋_GB2312"/>
          <w:sz w:val="28"/>
          <w:szCs w:val="28"/>
        </w:rPr>
      </w:pPr>
      <w:r>
        <w:rPr>
          <w:rFonts w:hint="eastAsia" w:ascii="仿宋_GB2312" w:eastAsia="仿宋_GB2312" w:cs="仿宋_GB2312"/>
          <w:sz w:val="28"/>
          <w:szCs w:val="28"/>
        </w:rPr>
        <w:t>3.个别老师在任课过程中，未清晰地了解该课程在培养方案中的地位和作用，缺少与导师组长等相关人员的沟通，仅按照个人的理解来安排教学，可能导致部分教学内容与本科期间所学内容（或研究生期间其他课程所学内容）重复。</w:t>
      </w:r>
    </w:p>
    <w:p>
      <w:pPr>
        <w:snapToGrid w:val="0"/>
        <w:spacing w:line="360" w:lineRule="auto"/>
        <w:ind w:firstLine="560" w:firstLineChars="200"/>
        <w:rPr>
          <w:rFonts w:ascii="仿宋_GB2312" w:eastAsia="仿宋_GB2312" w:cs="仿宋_GB2312"/>
          <w:sz w:val="28"/>
          <w:szCs w:val="28"/>
        </w:rPr>
      </w:pPr>
      <w:r>
        <w:rPr>
          <w:rFonts w:hint="eastAsia" w:ascii="仿宋_GB2312" w:eastAsia="仿宋_GB2312" w:cs="仿宋_GB2312"/>
          <w:sz w:val="28"/>
          <w:szCs w:val="28"/>
        </w:rPr>
        <w:t>4.有些课程对学生的吸引力较差，导致课堂纪律松散，部分同学在上课期间做课外作业、玩手机。</w:t>
      </w:r>
    </w:p>
    <w:p>
      <w:pPr>
        <w:snapToGrid w:val="0"/>
        <w:spacing w:before="156" w:beforeLines="50" w:line="360" w:lineRule="auto"/>
        <w:ind w:firstLine="562" w:firstLineChars="200"/>
        <w:rPr>
          <w:rFonts w:ascii="仿宋_GB2312" w:eastAsia="仿宋_GB2312" w:cs="仿宋_GB2312"/>
          <w:b/>
          <w:sz w:val="28"/>
          <w:szCs w:val="28"/>
        </w:rPr>
      </w:pPr>
      <w:r>
        <w:rPr>
          <w:rFonts w:hint="eastAsia" w:ascii="仿宋_GB2312" w:eastAsia="仿宋_GB2312" w:cs="仿宋_GB2312"/>
          <w:b/>
          <w:sz w:val="28"/>
          <w:szCs w:val="28"/>
        </w:rPr>
        <w:t>（三）建议</w:t>
      </w:r>
    </w:p>
    <w:p>
      <w:pPr>
        <w:snapToGrid w:val="0"/>
        <w:spacing w:line="360" w:lineRule="auto"/>
        <w:ind w:firstLine="560" w:firstLineChars="200"/>
        <w:rPr>
          <w:rFonts w:ascii="仿宋_GB2312" w:eastAsia="仿宋_GB2312" w:cs="仿宋_GB2312"/>
          <w:sz w:val="28"/>
          <w:szCs w:val="28"/>
        </w:rPr>
      </w:pPr>
      <w:r>
        <w:rPr>
          <w:rFonts w:hint="eastAsia" w:ascii="仿宋_GB2312" w:eastAsia="仿宋_GB2312" w:cs="仿宋_GB2312"/>
          <w:sz w:val="28"/>
          <w:szCs w:val="28"/>
        </w:rPr>
        <w:t>各学院、学位点继续加强教学管理与学生管理，及时掌握教学过程中存在的问题，采取有效措施，迅速改进。针对发现的问题，提出如下建议。</w:t>
      </w:r>
    </w:p>
    <w:p>
      <w:pPr>
        <w:snapToGrid w:val="0"/>
        <w:spacing w:line="360" w:lineRule="auto"/>
        <w:ind w:firstLine="560" w:firstLineChars="200"/>
        <w:rPr>
          <w:rFonts w:ascii="仿宋_GB2312" w:eastAsia="仿宋_GB2312" w:cs="仿宋_GB2312"/>
          <w:sz w:val="28"/>
          <w:szCs w:val="28"/>
        </w:rPr>
      </w:pPr>
      <w:r>
        <w:rPr>
          <w:rFonts w:hint="eastAsia" w:ascii="仿宋_GB2312" w:eastAsia="仿宋_GB2312" w:cs="仿宋_GB2312"/>
          <w:sz w:val="28"/>
          <w:szCs w:val="28"/>
        </w:rPr>
        <w:t>1.培养单位要在各学位点制定培养方案的基础上把关，要审核培养方案中所设置的课程的必要性、授课的深度与广度，对设置该课程在该专业中所起的作用要有一定要求。</w:t>
      </w:r>
    </w:p>
    <w:p>
      <w:pPr>
        <w:snapToGrid w:val="0"/>
        <w:spacing w:line="360" w:lineRule="auto"/>
        <w:ind w:firstLine="560" w:firstLineChars="200"/>
        <w:rPr>
          <w:rFonts w:ascii="仿宋_GB2312" w:eastAsia="仿宋_GB2312" w:cs="仿宋_GB2312"/>
          <w:sz w:val="28"/>
          <w:szCs w:val="28"/>
        </w:rPr>
      </w:pPr>
      <w:r>
        <w:rPr>
          <w:rFonts w:hint="eastAsia" w:ascii="仿宋_GB2312" w:eastAsia="仿宋_GB2312" w:cs="仿宋_GB2312"/>
          <w:sz w:val="28"/>
          <w:szCs w:val="28"/>
        </w:rPr>
        <w:t>2.各课程要有教学大纲，任课教师应该在教学大纲的指导下开展教学工作。</w:t>
      </w:r>
    </w:p>
    <w:p>
      <w:pPr>
        <w:snapToGrid w:val="0"/>
        <w:spacing w:line="360" w:lineRule="auto"/>
        <w:ind w:firstLine="560" w:firstLineChars="200"/>
        <w:rPr>
          <w:rFonts w:ascii="仿宋_GB2312" w:eastAsia="仿宋_GB2312" w:cs="仿宋_GB2312"/>
          <w:sz w:val="28"/>
          <w:szCs w:val="28"/>
        </w:rPr>
      </w:pPr>
      <w:r>
        <w:rPr>
          <w:rFonts w:hint="eastAsia" w:ascii="仿宋_GB2312" w:eastAsia="仿宋_GB2312" w:cs="仿宋_GB2312"/>
          <w:sz w:val="28"/>
          <w:szCs w:val="28"/>
        </w:rPr>
        <w:t>3.多个老师讲授同一门课的要有集体备课制度。</w:t>
      </w:r>
    </w:p>
    <w:p>
      <w:pPr>
        <w:snapToGrid w:val="0"/>
        <w:spacing w:line="360" w:lineRule="auto"/>
        <w:ind w:firstLine="560" w:firstLineChars="200"/>
        <w:rPr>
          <w:rFonts w:ascii="仿宋_GB2312" w:eastAsia="仿宋_GB2312" w:cs="仿宋_GB2312"/>
          <w:sz w:val="28"/>
          <w:szCs w:val="28"/>
        </w:rPr>
      </w:pPr>
      <w:r>
        <w:rPr>
          <w:rFonts w:hint="eastAsia" w:ascii="仿宋_GB2312" w:eastAsia="仿宋_GB2312" w:cs="仿宋_GB2312"/>
          <w:sz w:val="28"/>
          <w:szCs w:val="28"/>
        </w:rPr>
        <w:t>4.课程应该有统一归属（尤其是必修的基础课）。若非专题讲座，教学一般应该根据培养计划循序渐进地进行。</w:t>
      </w:r>
    </w:p>
    <w:p>
      <w:pPr>
        <w:snapToGrid w:val="0"/>
        <w:spacing w:line="360" w:lineRule="auto"/>
        <w:ind w:firstLine="560" w:firstLineChars="200"/>
        <w:rPr>
          <w:rFonts w:ascii="仿宋_GB2312" w:eastAsia="仿宋_GB2312" w:cs="仿宋_GB2312"/>
          <w:sz w:val="28"/>
          <w:szCs w:val="28"/>
        </w:rPr>
      </w:pPr>
      <w:r>
        <w:rPr>
          <w:rFonts w:hint="eastAsia" w:ascii="仿宋_GB2312" w:eastAsia="仿宋_GB2312" w:cs="仿宋_GB2312"/>
          <w:sz w:val="28"/>
          <w:szCs w:val="28"/>
        </w:rPr>
        <w:t>5.各培养单位要加强责任心，严格纪律，继续加强对学生的教育与管理，任课教师从严治教，严肃课堂纪律，各方面齐抓共管，进一步促进良好教风、学风的形成。</w:t>
      </w:r>
    </w:p>
    <w:p>
      <w:pPr>
        <w:snapToGrid w:val="0"/>
        <w:spacing w:line="360" w:lineRule="auto"/>
        <w:ind w:firstLine="560" w:firstLineChars="200"/>
        <w:rPr>
          <w:rFonts w:ascii="仿宋_GB2312" w:eastAsia="仿宋_GB2312" w:cs="仿宋_GB2312"/>
          <w:sz w:val="28"/>
          <w:szCs w:val="28"/>
        </w:rPr>
      </w:pPr>
    </w:p>
    <w:p>
      <w:pPr>
        <w:snapToGrid w:val="0"/>
        <w:spacing w:line="360" w:lineRule="auto"/>
        <w:ind w:firstLine="602" w:firstLineChars="200"/>
        <w:rPr>
          <w:rFonts w:ascii="黑体" w:hAnsi="黑体" w:eastAsia="黑体"/>
          <w:b/>
          <w:bCs/>
          <w:sz w:val="30"/>
          <w:szCs w:val="30"/>
        </w:rPr>
      </w:pPr>
      <w:r>
        <w:rPr>
          <w:rFonts w:hint="eastAsia" w:ascii="黑体" w:hAnsi="黑体" w:eastAsia="黑体"/>
          <w:b/>
          <w:bCs/>
          <w:sz w:val="30"/>
          <w:szCs w:val="30"/>
        </w:rPr>
        <w:t>二、研究生答辩会情况</w:t>
      </w:r>
    </w:p>
    <w:p>
      <w:pPr>
        <w:snapToGrid w:val="0"/>
        <w:spacing w:before="156" w:beforeLines="50" w:line="360" w:lineRule="auto"/>
        <w:ind w:firstLine="562" w:firstLineChars="200"/>
        <w:rPr>
          <w:rFonts w:ascii="仿宋_GB2312" w:eastAsia="仿宋_GB2312" w:cs="仿宋_GB2312"/>
          <w:b/>
          <w:sz w:val="28"/>
          <w:szCs w:val="28"/>
        </w:rPr>
      </w:pPr>
      <w:r>
        <w:rPr>
          <w:rFonts w:hint="eastAsia" w:ascii="仿宋_GB2312" w:eastAsia="仿宋_GB2312" w:cs="仿宋_GB2312"/>
          <w:b/>
          <w:sz w:val="28"/>
          <w:szCs w:val="28"/>
        </w:rPr>
        <w:t>（一）总体情况</w:t>
      </w:r>
    </w:p>
    <w:p>
      <w:pPr>
        <w:snapToGrid w:val="0"/>
        <w:spacing w:line="360" w:lineRule="auto"/>
        <w:ind w:firstLine="560" w:firstLineChars="200"/>
        <w:rPr>
          <w:rFonts w:ascii="仿宋_GB2312" w:eastAsia="仿宋_GB2312" w:cs="仿宋_GB2312"/>
          <w:sz w:val="28"/>
          <w:szCs w:val="28"/>
        </w:rPr>
      </w:pPr>
      <w:r>
        <w:rPr>
          <w:rFonts w:hint="eastAsia" w:ascii="仿宋_GB2312" w:eastAsia="仿宋_GB2312" w:cs="仿宋_GB2312"/>
          <w:sz w:val="28"/>
          <w:szCs w:val="28"/>
        </w:rPr>
        <w:t>近期，研究生培养督导组对部分研究生培养单位的毕业论文答辩会情况进行了随机督查。各培养单位对待毕业论文答辩工作都比较认真，程序规范，总体情况较好。</w:t>
      </w:r>
    </w:p>
    <w:p>
      <w:pPr>
        <w:snapToGrid w:val="0"/>
        <w:spacing w:line="360" w:lineRule="auto"/>
        <w:ind w:firstLine="560" w:firstLineChars="200"/>
        <w:rPr>
          <w:rFonts w:ascii="仿宋_GB2312" w:eastAsia="仿宋_GB2312" w:cs="仿宋_GB2312"/>
          <w:sz w:val="28"/>
          <w:szCs w:val="28"/>
        </w:rPr>
      </w:pPr>
      <w:r>
        <w:rPr>
          <w:rFonts w:hint="eastAsia" w:ascii="仿宋_GB2312" w:eastAsia="仿宋_GB2312" w:cs="仿宋_GB2312"/>
          <w:sz w:val="28"/>
          <w:szCs w:val="28"/>
        </w:rPr>
        <w:t>1.各专业答辩委员会人数和专家组成均符合规定，答辩委员会主席均由校外专家担任，所有专家均能按时到场。</w:t>
      </w:r>
    </w:p>
    <w:p>
      <w:pPr>
        <w:snapToGrid w:val="0"/>
        <w:spacing w:line="360" w:lineRule="auto"/>
        <w:ind w:firstLine="560" w:firstLineChars="200"/>
        <w:rPr>
          <w:rFonts w:ascii="仿宋_GB2312" w:eastAsia="仿宋_GB2312" w:cs="仿宋_GB2312"/>
          <w:sz w:val="28"/>
          <w:szCs w:val="28"/>
        </w:rPr>
      </w:pPr>
      <w:r>
        <w:rPr>
          <w:rFonts w:hint="eastAsia" w:ascii="仿宋_GB2312" w:eastAsia="仿宋_GB2312" w:cs="仿宋_GB2312"/>
          <w:sz w:val="28"/>
          <w:szCs w:val="28"/>
        </w:rPr>
        <w:t>2.答辩学生均能准时参加，答辩工作组织有序。</w:t>
      </w:r>
    </w:p>
    <w:p>
      <w:pPr>
        <w:snapToGrid w:val="0"/>
        <w:spacing w:line="360" w:lineRule="auto"/>
        <w:ind w:firstLine="560" w:firstLineChars="200"/>
        <w:rPr>
          <w:rFonts w:ascii="仿宋_GB2312" w:eastAsia="仿宋_GB2312" w:cs="仿宋_GB2312"/>
          <w:sz w:val="28"/>
          <w:szCs w:val="28"/>
        </w:rPr>
      </w:pPr>
      <w:r>
        <w:rPr>
          <w:rFonts w:hint="eastAsia" w:ascii="仿宋_GB2312" w:eastAsia="仿宋_GB2312" w:cs="仿宋_GB2312"/>
          <w:sz w:val="28"/>
          <w:szCs w:val="28"/>
        </w:rPr>
        <w:t>3.答辩学生都事先准备了PPT汇报，陈述较为清晰。</w:t>
      </w:r>
    </w:p>
    <w:p>
      <w:pPr>
        <w:snapToGrid w:val="0"/>
        <w:spacing w:line="360" w:lineRule="auto"/>
        <w:ind w:firstLine="560" w:firstLineChars="200"/>
        <w:rPr>
          <w:rFonts w:ascii="仿宋_GB2312" w:eastAsia="仿宋_GB2312" w:cs="仿宋_GB2312"/>
          <w:sz w:val="28"/>
          <w:szCs w:val="28"/>
        </w:rPr>
      </w:pPr>
      <w:r>
        <w:rPr>
          <w:rFonts w:hint="eastAsia" w:ascii="仿宋_GB2312" w:eastAsia="仿宋_GB2312" w:cs="仿宋_GB2312"/>
          <w:sz w:val="28"/>
          <w:szCs w:val="28"/>
        </w:rPr>
        <w:t>4.专家所提问题均在3个以上并且针对性强，多数专家在学生回答问题时有进一步的点评并指出论文中存在的问题及改进的要求。</w:t>
      </w:r>
    </w:p>
    <w:p>
      <w:pPr>
        <w:snapToGrid w:val="0"/>
        <w:spacing w:line="360" w:lineRule="auto"/>
        <w:ind w:firstLine="560" w:firstLineChars="200"/>
        <w:rPr>
          <w:rFonts w:ascii="仿宋_GB2312" w:eastAsia="仿宋_GB2312" w:cs="仿宋_GB2312"/>
          <w:sz w:val="28"/>
          <w:szCs w:val="28"/>
        </w:rPr>
      </w:pPr>
      <w:r>
        <w:rPr>
          <w:rFonts w:hint="eastAsia" w:ascii="仿宋_GB2312" w:eastAsia="仿宋_GB2312" w:cs="仿宋_GB2312"/>
          <w:sz w:val="28"/>
          <w:szCs w:val="28"/>
        </w:rPr>
        <w:t>5.答辩会有低年级同学参加旁听。</w:t>
      </w:r>
    </w:p>
    <w:p>
      <w:pPr>
        <w:snapToGrid w:val="0"/>
        <w:spacing w:line="360" w:lineRule="auto"/>
        <w:ind w:firstLine="560" w:firstLineChars="200"/>
        <w:rPr>
          <w:rFonts w:ascii="仿宋_GB2312" w:eastAsia="仿宋_GB2312" w:cs="仿宋_GB2312"/>
          <w:sz w:val="28"/>
          <w:szCs w:val="28"/>
        </w:rPr>
      </w:pPr>
      <w:r>
        <w:rPr>
          <w:rFonts w:hint="eastAsia" w:ascii="仿宋_GB2312" w:eastAsia="仿宋_GB2312" w:cs="仿宋_GB2312"/>
          <w:sz w:val="28"/>
          <w:szCs w:val="28"/>
        </w:rPr>
        <w:t>6.答辩时间安排比较充足，让学生有充分的时间进行陈述，让专家有足够的时间了解论文的情况，专家能够全面细致地提出论文存在的不足及改进的建议，对提高论文质量以及答辩的学生有较大的益处，同时为参加旁听的低年级同学提供了很好的学习和提高的机会。</w:t>
      </w:r>
    </w:p>
    <w:p>
      <w:pPr>
        <w:snapToGrid w:val="0"/>
        <w:spacing w:before="156" w:beforeLines="50" w:line="360" w:lineRule="auto"/>
        <w:ind w:firstLine="562" w:firstLineChars="200"/>
        <w:rPr>
          <w:rFonts w:ascii="仿宋_GB2312" w:eastAsia="仿宋_GB2312" w:cs="仿宋_GB2312"/>
          <w:b/>
          <w:sz w:val="28"/>
          <w:szCs w:val="28"/>
        </w:rPr>
      </w:pPr>
      <w:r>
        <w:rPr>
          <w:rFonts w:hint="eastAsia" w:ascii="仿宋_GB2312" w:eastAsia="仿宋_GB2312" w:cs="仿宋_GB2312"/>
          <w:b/>
          <w:sz w:val="28"/>
          <w:szCs w:val="28"/>
        </w:rPr>
        <w:t>（二）问题</w:t>
      </w:r>
    </w:p>
    <w:p>
      <w:pPr>
        <w:snapToGrid w:val="0"/>
        <w:spacing w:line="360" w:lineRule="auto"/>
        <w:ind w:firstLine="560" w:firstLineChars="200"/>
        <w:rPr>
          <w:rFonts w:ascii="仿宋_GB2312" w:eastAsia="仿宋_GB2312" w:cs="仿宋_GB2312"/>
          <w:sz w:val="28"/>
          <w:szCs w:val="28"/>
        </w:rPr>
      </w:pPr>
      <w:r>
        <w:rPr>
          <w:rFonts w:hint="eastAsia" w:ascii="仿宋_GB2312" w:eastAsia="仿宋_GB2312" w:cs="仿宋_GB2312"/>
          <w:sz w:val="28"/>
          <w:szCs w:val="28"/>
        </w:rPr>
        <w:t>存在的不足之处表现在以下几个方面。</w:t>
      </w:r>
    </w:p>
    <w:p>
      <w:pPr>
        <w:snapToGrid w:val="0"/>
        <w:spacing w:line="360" w:lineRule="auto"/>
        <w:ind w:firstLine="560" w:firstLineChars="200"/>
        <w:rPr>
          <w:rFonts w:ascii="仿宋_GB2312" w:eastAsia="仿宋_GB2312" w:cs="仿宋_GB2312"/>
          <w:sz w:val="28"/>
          <w:szCs w:val="28"/>
        </w:rPr>
      </w:pPr>
      <w:r>
        <w:rPr>
          <w:rFonts w:hint="eastAsia" w:ascii="仿宋_GB2312" w:eastAsia="仿宋_GB2312" w:cs="仿宋_GB2312"/>
          <w:sz w:val="28"/>
          <w:szCs w:val="28"/>
        </w:rPr>
        <w:t>1.部分在职的非全日制硕士的论文质量存在一些不足，在格式规范方面存在的问题较多。</w:t>
      </w:r>
    </w:p>
    <w:p>
      <w:pPr>
        <w:snapToGrid w:val="0"/>
        <w:spacing w:line="360" w:lineRule="auto"/>
        <w:ind w:firstLine="560" w:firstLineChars="200"/>
        <w:rPr>
          <w:rFonts w:ascii="仿宋_GB2312" w:eastAsia="仿宋_GB2312" w:cs="仿宋_GB2312"/>
          <w:sz w:val="28"/>
          <w:szCs w:val="28"/>
        </w:rPr>
      </w:pPr>
      <w:r>
        <w:rPr>
          <w:rFonts w:hint="eastAsia" w:ascii="仿宋_GB2312" w:eastAsia="仿宋_GB2312" w:cs="仿宋_GB2312"/>
          <w:sz w:val="28"/>
          <w:szCs w:val="28"/>
        </w:rPr>
        <w:t>2.针对专家指出的问题和好的建议，学生答辩后是否会按照答辩会上的承诺进行修改难以得到保证。</w:t>
      </w:r>
    </w:p>
    <w:p>
      <w:pPr>
        <w:snapToGrid w:val="0"/>
        <w:spacing w:before="156" w:beforeLines="50" w:line="360" w:lineRule="auto"/>
        <w:ind w:firstLine="562" w:firstLineChars="200"/>
        <w:rPr>
          <w:rFonts w:ascii="仿宋_GB2312" w:eastAsia="仿宋_GB2312" w:cs="仿宋_GB2312"/>
          <w:b/>
          <w:sz w:val="28"/>
          <w:szCs w:val="28"/>
        </w:rPr>
      </w:pPr>
      <w:r>
        <w:rPr>
          <w:rFonts w:hint="eastAsia" w:ascii="仿宋_GB2312" w:eastAsia="仿宋_GB2312" w:cs="仿宋_GB2312"/>
          <w:b/>
          <w:sz w:val="28"/>
          <w:szCs w:val="28"/>
        </w:rPr>
        <w:t>（三）建议</w:t>
      </w:r>
    </w:p>
    <w:p>
      <w:pPr>
        <w:snapToGrid w:val="0"/>
        <w:spacing w:line="360" w:lineRule="auto"/>
        <w:ind w:left="559" w:leftChars="266"/>
        <w:rPr>
          <w:rFonts w:ascii="仿宋_GB2312" w:eastAsia="仿宋_GB2312" w:cs="仿宋_GB2312"/>
          <w:bCs/>
          <w:sz w:val="28"/>
          <w:szCs w:val="28"/>
        </w:rPr>
      </w:pPr>
      <w:r>
        <w:rPr>
          <w:rFonts w:hint="eastAsia" w:ascii="仿宋_GB2312" w:eastAsia="仿宋_GB2312" w:cs="仿宋_GB2312"/>
          <w:bCs/>
          <w:sz w:val="28"/>
          <w:szCs w:val="28"/>
        </w:rPr>
        <w:t>鉴于上述现象，提出如下几点建议。</w:t>
      </w:r>
    </w:p>
    <w:p>
      <w:pPr>
        <w:snapToGrid w:val="0"/>
        <w:spacing w:line="360" w:lineRule="auto"/>
        <w:ind w:firstLine="560" w:firstLineChars="200"/>
        <w:rPr>
          <w:rFonts w:ascii="仿宋_GB2312" w:eastAsia="仿宋_GB2312" w:cs="仿宋_GB2312"/>
          <w:bCs/>
          <w:sz w:val="28"/>
          <w:szCs w:val="28"/>
        </w:rPr>
      </w:pPr>
      <w:r>
        <w:rPr>
          <w:rFonts w:hint="eastAsia" w:ascii="仿宋_GB2312" w:eastAsia="仿宋_GB2312" w:cs="仿宋_GB2312"/>
          <w:bCs/>
          <w:sz w:val="28"/>
          <w:szCs w:val="28"/>
        </w:rPr>
        <w:t>1.各专业应组织学生认真学习研究生院的两份文件《江西财经大学博士、硕士学位论文撰写规范》和《博士、硕士学位论文撰写中应注意的问题》中对论文的格式规范的要求，并要求指导老师仔细阅读和理解该两份文件的内容。</w:t>
      </w:r>
    </w:p>
    <w:p>
      <w:pPr>
        <w:snapToGrid w:val="0"/>
        <w:spacing w:line="360" w:lineRule="auto"/>
        <w:ind w:firstLine="560" w:firstLineChars="200"/>
        <w:rPr>
          <w:rFonts w:ascii="仿宋_GB2312" w:eastAsia="仿宋_GB2312" w:cs="仿宋_GB2312"/>
          <w:bCs/>
          <w:sz w:val="28"/>
          <w:szCs w:val="28"/>
        </w:rPr>
      </w:pPr>
      <w:r>
        <w:rPr>
          <w:rFonts w:hint="eastAsia" w:ascii="仿宋_GB2312" w:eastAsia="仿宋_GB2312" w:cs="仿宋_GB2312"/>
          <w:bCs/>
          <w:sz w:val="28"/>
          <w:szCs w:val="28"/>
        </w:rPr>
        <w:t>2.各学位点应组织指导教师认真学习《江西财经大学博士、硕士学位论文撰写规范》，深刻理解规范的具体要求，在指导过程中要求学生严格按规范撰写论文。</w:t>
      </w:r>
    </w:p>
    <w:p>
      <w:pPr>
        <w:snapToGrid w:val="0"/>
        <w:spacing w:line="360" w:lineRule="auto"/>
        <w:ind w:firstLine="560" w:firstLineChars="200"/>
        <w:rPr>
          <w:rFonts w:ascii="仿宋_GB2312" w:eastAsia="仿宋_GB2312" w:cs="仿宋_GB2312"/>
          <w:bCs/>
          <w:sz w:val="28"/>
          <w:szCs w:val="28"/>
        </w:rPr>
      </w:pPr>
      <w:r>
        <w:rPr>
          <w:rFonts w:hint="eastAsia" w:ascii="仿宋_GB2312" w:eastAsia="仿宋_GB2312" w:cs="仿宋_GB2312"/>
          <w:bCs/>
          <w:sz w:val="28"/>
          <w:szCs w:val="28"/>
        </w:rPr>
        <w:t>3.研究生院应在充分征求各培养单位的意见的基础上，重新修订《江西财经大学博士、硕士学位论文撰写规范》，对一些学生容易出错的和指导教师容易忽视的问题提出更为明确的要求，确保论文符合文件的规范要求，提高论文质量。</w:t>
      </w:r>
    </w:p>
    <w:p>
      <w:pPr>
        <w:snapToGrid w:val="0"/>
        <w:spacing w:line="360" w:lineRule="auto"/>
        <w:ind w:firstLine="560" w:firstLineChars="200"/>
        <w:rPr>
          <w:rFonts w:hint="eastAsia" w:ascii="仿宋_GB2312" w:eastAsia="仿宋_GB2312" w:cs="仿宋_GB2312"/>
          <w:bCs/>
          <w:sz w:val="28"/>
          <w:szCs w:val="28"/>
        </w:rPr>
      </w:pPr>
      <w:r>
        <w:rPr>
          <w:rFonts w:hint="eastAsia" w:ascii="仿宋_GB2312" w:eastAsia="仿宋_GB2312" w:cs="仿宋_GB2312"/>
          <w:bCs/>
          <w:sz w:val="28"/>
          <w:szCs w:val="28"/>
        </w:rPr>
        <w:t>4.各学位点要加强对</w:t>
      </w:r>
      <w:r>
        <w:rPr>
          <w:rFonts w:hint="eastAsia" w:ascii="仿宋_GB2312" w:eastAsia="仿宋_GB2312" w:cs="仿宋_GB2312"/>
          <w:sz w:val="28"/>
          <w:szCs w:val="28"/>
        </w:rPr>
        <w:t>答辩后</w:t>
      </w:r>
      <w:r>
        <w:rPr>
          <w:rFonts w:hint="eastAsia" w:ascii="仿宋_GB2312" w:eastAsia="仿宋_GB2312" w:cs="仿宋_GB2312"/>
          <w:bCs/>
          <w:sz w:val="28"/>
          <w:szCs w:val="28"/>
        </w:rPr>
        <w:t>论文修改的督查工作并形成制度。</w:t>
      </w:r>
    </w:p>
    <w:p>
      <w:pPr>
        <w:snapToGrid w:val="0"/>
        <w:spacing w:line="360" w:lineRule="auto"/>
        <w:rPr>
          <w:rFonts w:hint="eastAsia" w:ascii="仿宋_GB2312" w:eastAsia="仿宋_GB2312" w:cs="仿宋_GB2312"/>
          <w:sz w:val="28"/>
          <w:szCs w:val="28"/>
        </w:rPr>
      </w:pPr>
    </w:p>
    <w:p>
      <w:pPr>
        <w:snapToGrid w:val="0"/>
        <w:spacing w:line="360" w:lineRule="auto"/>
        <w:rPr>
          <w:rFonts w:ascii="仿宋_GB2312" w:eastAsia="仿宋_GB2312" w:cs="仿宋_GB2312"/>
          <w:sz w:val="28"/>
          <w:szCs w:val="28"/>
        </w:rPr>
      </w:pPr>
    </w:p>
    <w:p>
      <w:pPr>
        <w:snapToGrid w:val="0"/>
        <w:spacing w:line="360" w:lineRule="auto"/>
        <w:ind w:firstLine="602" w:firstLineChars="200"/>
        <w:rPr>
          <w:rFonts w:ascii="黑体" w:hAnsi="黑体" w:eastAsia="黑体"/>
          <w:b/>
          <w:bCs/>
          <w:sz w:val="30"/>
          <w:szCs w:val="30"/>
        </w:rPr>
      </w:pPr>
      <w:r>
        <w:rPr>
          <w:rFonts w:hint="eastAsia" w:ascii="黑体" w:hAnsi="黑体" w:eastAsia="黑体"/>
          <w:b/>
          <w:bCs/>
          <w:sz w:val="30"/>
          <w:szCs w:val="30"/>
        </w:rPr>
        <w:t>三、经验分享</w:t>
      </w:r>
    </w:p>
    <w:p>
      <w:pPr>
        <w:snapToGrid w:val="0"/>
        <w:spacing w:line="360" w:lineRule="auto"/>
        <w:ind w:firstLine="560" w:firstLineChars="200"/>
        <w:rPr>
          <w:rFonts w:hint="eastAsia" w:ascii="仿宋_GB2312" w:eastAsia="仿宋_GB2312" w:cs="仿宋_GB2312"/>
          <w:bCs/>
          <w:sz w:val="28"/>
          <w:szCs w:val="28"/>
        </w:rPr>
      </w:pPr>
      <w:r>
        <w:rPr>
          <w:rFonts w:hint="eastAsia" w:ascii="仿宋_GB2312" w:eastAsia="仿宋_GB2312" w:cs="仿宋_GB2312"/>
          <w:bCs/>
          <w:sz w:val="28"/>
          <w:szCs w:val="28"/>
        </w:rPr>
        <w:t>研究生培养督导组在督查过程中发现，部分方法论课程在授课过程中较偏向理论，注重公式推导，</w:t>
      </w:r>
      <w:r>
        <w:rPr>
          <w:rFonts w:hint="eastAsia" w:ascii="仿宋_GB2312" w:eastAsia="仿宋_GB2312" w:cs="仿宋_GB2312"/>
          <w:bCs/>
          <w:sz w:val="28"/>
          <w:szCs w:val="28"/>
          <w:lang w:val="en-US" w:eastAsia="zh-CN"/>
        </w:rPr>
        <w:t>未</w:t>
      </w:r>
      <w:r>
        <w:rPr>
          <w:rFonts w:hint="eastAsia" w:ascii="仿宋_GB2312" w:eastAsia="仿宋_GB2312" w:cs="仿宋_GB2312"/>
          <w:bCs/>
          <w:sz w:val="28"/>
          <w:szCs w:val="28"/>
        </w:rPr>
        <w:t>能很好的将</w:t>
      </w:r>
      <w:r>
        <w:rPr>
          <w:rFonts w:hint="eastAsia" w:ascii="仿宋_GB2312" w:eastAsia="仿宋_GB2312" w:cs="仿宋_GB2312"/>
          <w:bCs/>
          <w:sz w:val="28"/>
          <w:szCs w:val="28"/>
          <w:lang w:val="en-US" w:eastAsia="zh-CN"/>
        </w:rPr>
        <w:t>方法理论</w:t>
      </w:r>
      <w:r>
        <w:rPr>
          <w:rFonts w:hint="eastAsia" w:ascii="仿宋_GB2312" w:eastAsia="仿宋_GB2312" w:cs="仿宋_GB2312"/>
          <w:bCs/>
          <w:sz w:val="28"/>
          <w:szCs w:val="28"/>
        </w:rPr>
        <w:t>与经济应用相结合，</w:t>
      </w:r>
      <w:r>
        <w:rPr>
          <w:rFonts w:hint="eastAsia" w:ascii="仿宋_GB2312" w:eastAsia="仿宋_GB2312" w:cs="仿宋_GB2312"/>
          <w:bCs/>
          <w:sz w:val="28"/>
          <w:szCs w:val="28"/>
          <w:lang w:val="en-US" w:eastAsia="zh-CN"/>
        </w:rPr>
        <w:t>恰当地运</w:t>
      </w:r>
      <w:r>
        <w:rPr>
          <w:rFonts w:hint="eastAsia" w:ascii="仿宋_GB2312" w:eastAsia="仿宋_GB2312" w:cs="仿宋_GB2312"/>
          <w:bCs/>
          <w:sz w:val="28"/>
          <w:szCs w:val="28"/>
        </w:rPr>
        <w:t>用到实际案例中。会计学院的熊家财老师</w:t>
      </w:r>
      <w:r>
        <w:rPr>
          <w:rFonts w:hint="eastAsia" w:ascii="仿宋_GB2312" w:eastAsia="仿宋_GB2312" w:cs="仿宋_GB2312"/>
          <w:bCs/>
          <w:sz w:val="28"/>
          <w:szCs w:val="28"/>
          <w:lang w:val="en-US" w:eastAsia="zh-CN"/>
        </w:rPr>
        <w:t>为此</w:t>
      </w:r>
      <w:r>
        <w:rPr>
          <w:rFonts w:hint="eastAsia" w:ascii="仿宋_GB2312" w:eastAsia="仿宋_GB2312" w:cs="仿宋_GB2312"/>
          <w:bCs/>
          <w:sz w:val="28"/>
          <w:szCs w:val="28"/>
        </w:rPr>
        <w:t>作了一篇</w:t>
      </w:r>
      <w:r>
        <w:rPr>
          <w:rFonts w:hint="eastAsia" w:ascii="仿宋_GB2312" w:eastAsia="仿宋_GB2312" w:cs="仿宋_GB2312"/>
          <w:bCs/>
          <w:sz w:val="28"/>
          <w:szCs w:val="28"/>
          <w:lang w:val="en-US" w:eastAsia="zh-CN"/>
        </w:rPr>
        <w:t>言简意赅的</w:t>
      </w:r>
      <w:r>
        <w:rPr>
          <w:rFonts w:hint="eastAsia" w:ascii="仿宋_GB2312" w:eastAsia="仿宋_GB2312" w:cs="仿宋_GB2312"/>
          <w:bCs/>
          <w:sz w:val="28"/>
          <w:szCs w:val="28"/>
        </w:rPr>
        <w:t>经验总结</w:t>
      </w:r>
      <w:r>
        <w:rPr>
          <w:rFonts w:hint="eastAsia" w:ascii="仿宋_GB2312" w:eastAsia="仿宋_GB2312" w:cs="仿宋_GB2312"/>
          <w:bCs/>
          <w:sz w:val="28"/>
          <w:szCs w:val="28"/>
          <w:lang w:eastAsia="zh-CN"/>
        </w:rPr>
        <w:t>。</w:t>
      </w:r>
      <w:r>
        <w:rPr>
          <w:rFonts w:hint="eastAsia" w:ascii="仿宋_GB2312" w:eastAsia="仿宋_GB2312" w:cs="仿宋_GB2312"/>
          <w:bCs/>
          <w:sz w:val="28"/>
          <w:szCs w:val="28"/>
        </w:rPr>
        <w:t>现刊登如下，以飨读者。</w:t>
      </w:r>
    </w:p>
    <w:p>
      <w:pPr>
        <w:snapToGrid w:val="0"/>
        <w:spacing w:line="360" w:lineRule="auto"/>
        <w:ind w:firstLine="560" w:firstLineChars="200"/>
        <w:rPr>
          <w:rFonts w:hint="eastAsia" w:ascii="楷体" w:hAnsi="楷体" w:eastAsia="楷体" w:cs="楷体"/>
          <w:bCs/>
          <w:sz w:val="28"/>
          <w:szCs w:val="28"/>
        </w:rPr>
      </w:pPr>
      <w:r>
        <w:rPr>
          <w:rFonts w:hint="eastAsia" w:ascii="楷体" w:hAnsi="楷体" w:eastAsia="楷体" w:cs="楷体"/>
          <w:bCs/>
          <w:sz w:val="28"/>
          <w:szCs w:val="28"/>
        </w:rPr>
        <w:t>《会计研究方法论》是会计学博士的必修课程之一，主要讲述会计学研究中经常使用的一些定量分析方法以及Stata软件运用，授课老师为会计学院周冬华教授与熊家财副教授。课程主要的讲授的研究方法包括：经典线性回归OLS，异方差、自相关等非球形扰动，以及处理内生性的各种方法，包括工具变量、匹配、双重差分、断点回归方法等。课程内容基本囊括现阶段会计、财务、审计研究中所需要的为主流方法。</w:t>
      </w:r>
    </w:p>
    <w:p>
      <w:pPr>
        <w:snapToGrid w:val="0"/>
        <w:spacing w:line="360" w:lineRule="auto"/>
        <w:ind w:firstLine="560" w:firstLineChars="200"/>
        <w:rPr>
          <w:rFonts w:hint="eastAsia" w:ascii="楷体" w:hAnsi="楷体" w:eastAsia="楷体" w:cs="楷体"/>
          <w:bCs/>
          <w:sz w:val="28"/>
          <w:szCs w:val="28"/>
        </w:rPr>
      </w:pPr>
      <w:r>
        <w:rPr>
          <w:rFonts w:hint="eastAsia" w:ascii="楷体" w:hAnsi="楷体" w:eastAsia="楷体" w:cs="楷体"/>
          <w:bCs/>
          <w:sz w:val="28"/>
          <w:szCs w:val="28"/>
        </w:rPr>
        <w:t>为了降低学生对上述方法陌生感，任课老师需要将研究方法与会计领域的研究主题相结合、理论与操作相结合、理论与案例论文相融合，这样才能更好地加强学生领悟程度。具体做法如下。</w:t>
      </w:r>
    </w:p>
    <w:p>
      <w:pPr>
        <w:snapToGrid w:val="0"/>
        <w:spacing w:line="360" w:lineRule="auto"/>
        <w:ind w:firstLine="560" w:firstLineChars="200"/>
        <w:rPr>
          <w:rFonts w:hint="eastAsia" w:ascii="楷体" w:hAnsi="楷体" w:eastAsia="楷体" w:cs="楷体"/>
          <w:bCs/>
          <w:sz w:val="28"/>
          <w:szCs w:val="28"/>
        </w:rPr>
      </w:pPr>
      <w:r>
        <w:rPr>
          <w:rFonts w:hint="eastAsia" w:ascii="楷体" w:hAnsi="楷体" w:eastAsia="楷体" w:cs="楷体"/>
          <w:bCs/>
          <w:sz w:val="28"/>
          <w:szCs w:val="28"/>
        </w:rPr>
        <w:t>1.课程开始需要通过一个案例或研究问题导入讲课主题。如双重差分章节讲解，导入问题就是我们如何评估产业政策对企业财务行为的影响。</w:t>
      </w:r>
    </w:p>
    <w:p>
      <w:pPr>
        <w:snapToGrid w:val="0"/>
        <w:spacing w:line="360" w:lineRule="auto"/>
        <w:ind w:firstLine="560" w:firstLineChars="200"/>
        <w:rPr>
          <w:rFonts w:hint="eastAsia" w:ascii="楷体" w:hAnsi="楷体" w:eastAsia="楷体" w:cs="楷体"/>
          <w:bCs/>
          <w:sz w:val="28"/>
          <w:szCs w:val="28"/>
        </w:rPr>
      </w:pPr>
      <w:r>
        <w:rPr>
          <w:rFonts w:hint="eastAsia" w:ascii="楷体" w:hAnsi="楷体" w:eastAsia="楷体" w:cs="楷体"/>
          <w:bCs/>
          <w:sz w:val="28"/>
          <w:szCs w:val="28"/>
        </w:rPr>
        <w:t>2.鉴于研究方法课程会涉及一定量的数理推导，如果完全使用PPT进行讲解，学生不易了解里面的具体细节。因此，课程教学中使用了大量板书，将具体推导过程详细、完整地展现出来，以加强学生的了解。</w:t>
      </w:r>
    </w:p>
    <w:p>
      <w:pPr>
        <w:snapToGrid w:val="0"/>
        <w:spacing w:line="360" w:lineRule="auto"/>
        <w:ind w:firstLine="560" w:firstLineChars="200"/>
        <w:rPr>
          <w:rFonts w:hint="eastAsia" w:ascii="楷体" w:hAnsi="楷体" w:eastAsia="楷体" w:cs="楷体"/>
          <w:bCs/>
          <w:sz w:val="28"/>
          <w:szCs w:val="28"/>
        </w:rPr>
      </w:pPr>
      <w:r>
        <w:rPr>
          <w:rFonts w:hint="eastAsia" w:ascii="楷体" w:hAnsi="楷体" w:eastAsia="楷体" w:cs="楷体"/>
          <w:bCs/>
          <w:sz w:val="28"/>
          <w:szCs w:val="28"/>
        </w:rPr>
        <w:t>3.方法最后是应用于实际生活，因此，讲解完研究方法理论后，需要讲解提供2-3篇使用该方法的论文。通过论文讲解，学生对于方法应用、存在问题、注意要点等更明白。</w:t>
      </w:r>
    </w:p>
    <w:p>
      <w:pPr>
        <w:snapToGrid w:val="0"/>
        <w:spacing w:line="360" w:lineRule="auto"/>
        <w:ind w:firstLine="560" w:firstLineChars="200"/>
        <w:rPr>
          <w:rFonts w:hint="eastAsia" w:ascii="楷体" w:hAnsi="楷体" w:eastAsia="楷体" w:cs="楷体"/>
          <w:bCs/>
          <w:sz w:val="28"/>
          <w:szCs w:val="28"/>
        </w:rPr>
      </w:pPr>
      <w:r>
        <w:rPr>
          <w:rFonts w:hint="eastAsia" w:ascii="楷体" w:hAnsi="楷体" w:eastAsia="楷体" w:cs="楷体"/>
          <w:bCs/>
          <w:sz w:val="28"/>
          <w:szCs w:val="28"/>
        </w:rPr>
        <w:t>4.讲解理论后也需要告诉学生软件操作方法，如果不会操作，学生的厌烦情绪会加剧，因此，理论讲解之后也会提供Stata操作方法与案例。</w:t>
      </w:r>
    </w:p>
    <w:p>
      <w:pPr>
        <w:snapToGrid w:val="0"/>
        <w:spacing w:line="360" w:lineRule="auto"/>
        <w:ind w:firstLine="560" w:firstLineChars="200"/>
        <w:rPr>
          <w:rFonts w:hint="eastAsia" w:ascii="楷体" w:hAnsi="楷体" w:eastAsia="楷体" w:cs="楷体"/>
          <w:bCs/>
          <w:sz w:val="28"/>
          <w:szCs w:val="28"/>
        </w:rPr>
      </w:pPr>
      <w:r>
        <w:rPr>
          <w:rFonts w:hint="eastAsia" w:ascii="楷体" w:hAnsi="楷体" w:eastAsia="楷体" w:cs="楷体"/>
          <w:bCs/>
          <w:sz w:val="28"/>
          <w:szCs w:val="28"/>
        </w:rPr>
        <w:t>5.通过布置1-2篇本主题的案例论文，让学生写读书笔记或进行课堂报告。通过阅读经典案例，学生对于方法的掌握更为深入，日后使用该方法进行学术研究时，也有可以参考的模板论文，一举多得。</w:t>
      </w:r>
    </w:p>
    <w:p>
      <w:pPr>
        <w:snapToGrid w:val="0"/>
        <w:spacing w:line="360" w:lineRule="auto"/>
        <w:ind w:firstLine="560" w:firstLineChars="200"/>
        <w:rPr>
          <w:rFonts w:hint="eastAsia" w:ascii="楷体" w:hAnsi="楷体" w:eastAsia="楷体" w:cs="楷体"/>
          <w:bCs/>
          <w:sz w:val="28"/>
          <w:szCs w:val="28"/>
        </w:rPr>
      </w:pPr>
    </w:p>
    <w:p>
      <w:pPr>
        <w:snapToGrid w:val="0"/>
        <w:spacing w:line="360" w:lineRule="auto"/>
        <w:ind w:firstLine="560" w:firstLineChars="200"/>
        <w:rPr>
          <w:rFonts w:hint="eastAsia" w:ascii="楷体" w:hAnsi="楷体" w:eastAsia="楷体" w:cs="楷体"/>
          <w:bCs/>
          <w:sz w:val="28"/>
          <w:szCs w:val="28"/>
        </w:rPr>
      </w:pPr>
    </w:p>
    <w:p>
      <w:pPr>
        <w:snapToGrid w:val="0"/>
        <w:spacing w:line="360" w:lineRule="auto"/>
        <w:ind w:firstLine="560" w:firstLineChars="200"/>
        <w:rPr>
          <w:rFonts w:hint="eastAsia" w:ascii="楷体" w:hAnsi="楷体" w:eastAsia="楷体" w:cs="楷体"/>
          <w:bCs/>
          <w:sz w:val="28"/>
          <w:szCs w:val="28"/>
        </w:rPr>
      </w:pPr>
    </w:p>
    <w:p>
      <w:pPr>
        <w:snapToGrid w:val="0"/>
        <w:spacing w:line="360" w:lineRule="auto"/>
        <w:ind w:firstLine="560" w:firstLineChars="200"/>
        <w:rPr>
          <w:rFonts w:hint="eastAsia" w:ascii="仿宋_GB2312" w:eastAsia="仿宋_GB2312" w:cs="仿宋_GB2312"/>
          <w:bCs/>
          <w:sz w:val="28"/>
          <w:szCs w:val="28"/>
        </w:rPr>
      </w:pPr>
    </w:p>
    <w:p>
      <w:pPr>
        <w:snapToGrid w:val="0"/>
        <w:spacing w:line="360" w:lineRule="auto"/>
        <w:ind w:firstLine="560" w:firstLineChars="200"/>
        <w:rPr>
          <w:rFonts w:hint="eastAsia" w:ascii="仿宋_GB2312" w:eastAsia="仿宋_GB2312" w:cs="仿宋_GB2312"/>
          <w:bCs/>
          <w:sz w:val="28"/>
          <w:szCs w:val="28"/>
        </w:rPr>
      </w:pPr>
    </w:p>
    <w:p>
      <w:pPr>
        <w:snapToGrid w:val="0"/>
        <w:spacing w:line="360" w:lineRule="auto"/>
        <w:ind w:firstLine="560" w:firstLineChars="200"/>
        <w:rPr>
          <w:rFonts w:hint="eastAsia" w:ascii="仿宋_GB2312" w:eastAsia="仿宋_GB2312" w:cs="仿宋_GB2312"/>
          <w:bCs/>
          <w:sz w:val="28"/>
          <w:szCs w:val="28"/>
        </w:rPr>
      </w:pPr>
    </w:p>
    <w:p>
      <w:pPr>
        <w:snapToGrid w:val="0"/>
        <w:spacing w:line="360" w:lineRule="auto"/>
        <w:ind w:firstLine="560" w:firstLineChars="200"/>
        <w:rPr>
          <w:rFonts w:hint="eastAsia" w:ascii="仿宋_GB2312" w:eastAsia="仿宋_GB2312" w:cs="仿宋_GB2312"/>
          <w:bCs/>
          <w:sz w:val="28"/>
          <w:szCs w:val="28"/>
        </w:rPr>
      </w:pPr>
    </w:p>
    <w:p>
      <w:pPr>
        <w:snapToGrid w:val="0"/>
        <w:spacing w:line="360" w:lineRule="auto"/>
        <w:ind w:firstLine="560" w:firstLineChars="200"/>
        <w:rPr>
          <w:rFonts w:hint="eastAsia" w:ascii="仿宋_GB2312" w:eastAsia="仿宋_GB2312" w:cs="仿宋_GB2312"/>
          <w:bCs/>
          <w:sz w:val="28"/>
          <w:szCs w:val="28"/>
        </w:rPr>
      </w:pPr>
    </w:p>
    <w:p>
      <w:pPr>
        <w:snapToGrid w:val="0"/>
        <w:spacing w:line="360" w:lineRule="auto"/>
        <w:ind w:firstLine="560" w:firstLineChars="200"/>
        <w:rPr>
          <w:rFonts w:hint="eastAsia" w:ascii="仿宋_GB2312" w:eastAsia="仿宋_GB2312" w:cs="仿宋_GB2312"/>
          <w:bCs/>
          <w:sz w:val="28"/>
          <w:szCs w:val="28"/>
        </w:rPr>
      </w:pPr>
    </w:p>
    <w:p>
      <w:pPr>
        <w:snapToGrid w:val="0"/>
        <w:spacing w:line="360" w:lineRule="auto"/>
        <w:ind w:firstLine="560" w:firstLineChars="200"/>
        <w:rPr>
          <w:rFonts w:hint="eastAsia" w:ascii="仿宋_GB2312" w:eastAsia="仿宋_GB2312" w:cs="仿宋_GB2312"/>
          <w:bCs/>
          <w:sz w:val="28"/>
          <w:szCs w:val="28"/>
        </w:rPr>
      </w:pPr>
    </w:p>
    <w:p>
      <w:pPr>
        <w:snapToGrid w:val="0"/>
        <w:spacing w:line="360" w:lineRule="auto"/>
        <w:ind w:firstLine="560" w:firstLineChars="200"/>
        <w:rPr>
          <w:rFonts w:hint="eastAsia" w:ascii="仿宋_GB2312" w:eastAsia="仿宋_GB2312" w:cs="仿宋_GB2312"/>
          <w:bCs/>
          <w:sz w:val="28"/>
          <w:szCs w:val="28"/>
        </w:rPr>
      </w:pPr>
    </w:p>
    <w:p>
      <w:pPr>
        <w:snapToGrid w:val="0"/>
        <w:spacing w:line="360" w:lineRule="auto"/>
        <w:ind w:firstLine="560" w:firstLineChars="200"/>
        <w:rPr>
          <w:rFonts w:ascii="仿宋_GB2312" w:eastAsia="仿宋_GB2312" w:cs="仿宋_GB2312"/>
          <w:bCs/>
          <w:sz w:val="28"/>
          <w:szCs w:val="28"/>
        </w:rPr>
      </w:pPr>
    </w:p>
    <w:p>
      <w:pPr>
        <w:snapToGrid w:val="0"/>
        <w:spacing w:line="400" w:lineRule="exact"/>
        <w:rPr>
          <w:rFonts w:ascii="仿宋" w:hAnsi="仿宋" w:eastAsia="仿宋"/>
          <w:color w:val="FF0000"/>
          <w:sz w:val="28"/>
          <w:szCs w:val="28"/>
        </w:rPr>
      </w:pPr>
    </w:p>
    <w:p>
      <w:pPr>
        <w:adjustRightInd w:val="0"/>
        <w:snapToGrid w:val="0"/>
        <w:spacing w:line="360" w:lineRule="exact"/>
        <w:rPr>
          <w:rFonts w:ascii="宋体" w:hAnsi="宋体" w:cs="Times New Roman"/>
          <w:b/>
          <w:bCs/>
          <w:sz w:val="30"/>
          <w:szCs w:val="30"/>
          <w:u w:val="single"/>
        </w:rPr>
      </w:pPr>
      <w:r>
        <w:rPr>
          <w:rFonts w:hint="eastAsia" w:ascii="黑体" w:hAnsi="黑体" w:eastAsia="黑体"/>
          <w:b/>
          <w:bCs/>
          <w:sz w:val="30"/>
          <w:szCs w:val="30"/>
          <w:u w:val="single"/>
        </w:rPr>
        <w:t>主题词：</w:t>
      </w:r>
      <w:r>
        <w:rPr>
          <w:rFonts w:hint="eastAsia" w:ascii="黑体" w:hAnsi="宋体" w:eastAsia="黑体"/>
          <w:b/>
          <w:bCs/>
          <w:sz w:val="30"/>
          <w:szCs w:val="30"/>
          <w:u w:val="single"/>
        </w:rPr>
        <w:t xml:space="preserve"> </w:t>
      </w:r>
      <w:r>
        <w:rPr>
          <w:rFonts w:hint="eastAsia" w:ascii="黑体" w:hAnsi="黑体" w:eastAsia="黑体"/>
          <w:b/>
          <w:bCs/>
          <w:sz w:val="30"/>
          <w:szCs w:val="30"/>
          <w:u w:val="single"/>
        </w:rPr>
        <w:t>研究生</w:t>
      </w:r>
      <w:r>
        <w:rPr>
          <w:rFonts w:hint="eastAsia" w:ascii="黑体" w:hAnsi="宋体" w:eastAsia="黑体"/>
          <w:b/>
          <w:bCs/>
          <w:sz w:val="30"/>
          <w:szCs w:val="30"/>
          <w:u w:val="single"/>
        </w:rPr>
        <w:t xml:space="preserve">  </w:t>
      </w:r>
      <w:r>
        <w:rPr>
          <w:rFonts w:hint="eastAsia" w:ascii="黑体" w:hAnsi="黑体" w:eastAsia="黑体"/>
          <w:b/>
          <w:bCs/>
          <w:sz w:val="30"/>
          <w:szCs w:val="30"/>
          <w:u w:val="single"/>
        </w:rPr>
        <w:t>培养</w:t>
      </w:r>
      <w:r>
        <w:rPr>
          <w:rFonts w:hint="eastAsia" w:ascii="黑体" w:hAnsi="宋体" w:eastAsia="黑体"/>
          <w:b/>
          <w:bCs/>
          <w:sz w:val="30"/>
          <w:szCs w:val="30"/>
          <w:u w:val="single"/>
        </w:rPr>
        <w:t xml:space="preserve">  </w:t>
      </w:r>
      <w:r>
        <w:rPr>
          <w:rFonts w:hint="eastAsia" w:ascii="黑体" w:hAnsi="黑体" w:eastAsia="黑体"/>
          <w:b/>
          <w:bCs/>
          <w:sz w:val="30"/>
          <w:szCs w:val="30"/>
          <w:u w:val="single"/>
        </w:rPr>
        <w:t>督导</w:t>
      </w:r>
      <w:r>
        <w:rPr>
          <w:rFonts w:hint="eastAsia" w:ascii="黑体" w:hAnsi="宋体" w:eastAsia="黑体"/>
          <w:b/>
          <w:bCs/>
          <w:sz w:val="30"/>
          <w:szCs w:val="30"/>
          <w:u w:val="single"/>
        </w:rPr>
        <w:t xml:space="preserve">                               </w:t>
      </w:r>
    </w:p>
    <w:p>
      <w:pPr>
        <w:adjustRightInd w:val="0"/>
        <w:snapToGrid w:val="0"/>
        <w:spacing w:line="360" w:lineRule="exact"/>
        <w:rPr>
          <w:rFonts w:ascii="仿宋_GB2312" w:eastAsia="仿宋_GB2312"/>
          <w:sz w:val="30"/>
          <w:szCs w:val="30"/>
          <w:u w:val="single"/>
        </w:rPr>
      </w:pPr>
      <w:r>
        <w:rPr>
          <w:rFonts w:hint="eastAsia" w:ascii="仿宋_GB2312" w:eastAsia="仿宋_GB2312"/>
          <w:sz w:val="30"/>
          <w:szCs w:val="30"/>
          <w:u w:val="single"/>
        </w:rPr>
        <w:t xml:space="preserve">  抄报： 校领导                                           </w:t>
      </w:r>
    </w:p>
    <w:p>
      <w:pPr>
        <w:adjustRightInd w:val="0"/>
        <w:snapToGrid w:val="0"/>
        <w:spacing w:line="360" w:lineRule="exact"/>
        <w:rPr>
          <w:rFonts w:ascii="仿宋_GB2312" w:eastAsia="仿宋_GB2312" w:cs="Times New Roman"/>
          <w:sz w:val="30"/>
          <w:szCs w:val="30"/>
          <w:u w:val="single"/>
        </w:rPr>
      </w:pPr>
      <w:r>
        <w:rPr>
          <w:rFonts w:hint="eastAsia" w:ascii="仿宋_GB2312" w:eastAsia="仿宋_GB2312"/>
          <w:sz w:val="30"/>
          <w:szCs w:val="30"/>
          <w:u w:val="single"/>
        </w:rPr>
        <w:t xml:space="preserve">  抄送： 各研究生培养单位                                 </w:t>
      </w:r>
    </w:p>
    <w:p>
      <w:pPr>
        <w:adjustRightInd w:val="0"/>
        <w:snapToGrid w:val="0"/>
        <w:spacing w:line="380" w:lineRule="exact"/>
        <w:rPr>
          <w:rFonts w:ascii="仿宋_GB2312" w:eastAsia="仿宋_GB2312" w:cs="Times New Roman"/>
          <w:kern w:val="0"/>
          <w:sz w:val="30"/>
          <w:szCs w:val="30"/>
          <w:u w:val="single"/>
        </w:rPr>
      </w:pPr>
      <w:r>
        <w:rPr>
          <w:rFonts w:hint="eastAsia" w:ascii="仿宋_GB2312" w:eastAsia="仿宋_GB2312"/>
          <w:kern w:val="0"/>
          <w:sz w:val="30"/>
          <w:szCs w:val="30"/>
          <w:u w:val="single"/>
        </w:rPr>
        <w:t xml:space="preserve">                          </w:t>
      </w:r>
      <w:r>
        <w:rPr>
          <w:rFonts w:hint="eastAsia" w:ascii="仿宋_GB2312" w:eastAsia="仿宋_GB2312"/>
          <w:spacing w:val="-4"/>
          <w:sz w:val="30"/>
          <w:szCs w:val="30"/>
          <w:u w:val="single"/>
        </w:rPr>
        <w:t>二</w:t>
      </w:r>
      <w:r>
        <w:rPr>
          <w:rFonts w:hint="eastAsia" w:ascii="宋体" w:hAnsi="宋体"/>
          <w:spacing w:val="-4"/>
          <w:sz w:val="30"/>
          <w:szCs w:val="30"/>
          <w:u w:val="single"/>
        </w:rPr>
        <w:t>〇</w:t>
      </w:r>
      <w:r>
        <w:rPr>
          <w:rFonts w:hint="eastAsia" w:ascii="仿宋_GB2312" w:eastAsia="仿宋_GB2312"/>
          <w:sz w:val="30"/>
          <w:szCs w:val="30"/>
          <w:u w:val="single"/>
          <w:shd w:val="clear" w:color="auto" w:fill="FFFFFF"/>
        </w:rPr>
        <w:t>二</w:t>
      </w:r>
      <w:r>
        <w:rPr>
          <w:rFonts w:hint="eastAsia" w:ascii="宋体" w:hAnsi="宋体"/>
          <w:spacing w:val="-4"/>
          <w:sz w:val="30"/>
          <w:szCs w:val="30"/>
          <w:u w:val="single"/>
        </w:rPr>
        <w:t>〇</w:t>
      </w:r>
      <w:r>
        <w:rPr>
          <w:rFonts w:hint="eastAsia" w:ascii="仿宋_GB2312" w:eastAsia="仿宋_GB2312"/>
          <w:spacing w:val="-4"/>
          <w:sz w:val="30"/>
          <w:szCs w:val="30"/>
          <w:u w:val="single"/>
        </w:rPr>
        <w:t>年十一月二十六日</w:t>
      </w:r>
      <w:r>
        <w:rPr>
          <w:rFonts w:hint="eastAsia" w:ascii="仿宋_GB2312" w:eastAsia="仿宋_GB2312"/>
          <w:kern w:val="0"/>
          <w:sz w:val="30"/>
          <w:szCs w:val="30"/>
          <w:u w:val="single"/>
        </w:rPr>
        <w:t xml:space="preserve">印发    </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Bahnschrift SemiLight">
    <w:panose1 w:val="020B0502040204020203"/>
    <w:charset w:val="00"/>
    <w:family w:val="auto"/>
    <w:pitch w:val="default"/>
    <w:sig w:usb0="800002C7" w:usb1="00000002" w:usb2="00000000" w:usb3="00000000" w:csb0="2000019F" w:csb1="00000000"/>
  </w:font>
  <w:font w:name="方正粗黑宋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3286680"/>
      <w:docPartObj>
        <w:docPartGallery w:val="autotext"/>
      </w:docPartObj>
    </w:sdtPr>
    <w:sdtContent>
      <w:sdt>
        <w:sdtPr>
          <w:id w:val="98381352"/>
          <w:docPartObj>
            <w:docPartGallery w:val="autotext"/>
          </w:docPartObj>
        </w:sdtPr>
        <w:sdtContent>
          <w:p>
            <w:pPr>
              <w:pStyle w:val="3"/>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500870"/>
      <w:docPartObj>
        <w:docPartGallery w:val="autotext"/>
      </w:docPartObj>
    </w:sdtPr>
    <w:sdtContent>
      <w:sdt>
        <w:sdtPr>
          <w:id w:val="-1497947372"/>
          <w:docPartObj>
            <w:docPartGallery w:val="autotext"/>
          </w:docPartObj>
        </w:sdtPr>
        <w:sdtContent>
          <w:p>
            <w:pPr>
              <w:pStyle w:val="3"/>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C70"/>
    <w:rsid w:val="00005796"/>
    <w:rsid w:val="000A305C"/>
    <w:rsid w:val="001302F7"/>
    <w:rsid w:val="00147D5B"/>
    <w:rsid w:val="001D3D20"/>
    <w:rsid w:val="001F59D3"/>
    <w:rsid w:val="00207199"/>
    <w:rsid w:val="00236C70"/>
    <w:rsid w:val="003463C8"/>
    <w:rsid w:val="003B26DE"/>
    <w:rsid w:val="00432047"/>
    <w:rsid w:val="00485275"/>
    <w:rsid w:val="00540CB3"/>
    <w:rsid w:val="00570014"/>
    <w:rsid w:val="00687BB2"/>
    <w:rsid w:val="00690F19"/>
    <w:rsid w:val="00724E86"/>
    <w:rsid w:val="007A2B52"/>
    <w:rsid w:val="0083029D"/>
    <w:rsid w:val="00851A82"/>
    <w:rsid w:val="00951252"/>
    <w:rsid w:val="009D55BF"/>
    <w:rsid w:val="00A45C88"/>
    <w:rsid w:val="00A57AC6"/>
    <w:rsid w:val="00B4793C"/>
    <w:rsid w:val="00B81802"/>
    <w:rsid w:val="00BD7BDB"/>
    <w:rsid w:val="00CA2E2B"/>
    <w:rsid w:val="00CA6A08"/>
    <w:rsid w:val="00CB42C9"/>
    <w:rsid w:val="00CD7FAE"/>
    <w:rsid w:val="00E008F2"/>
    <w:rsid w:val="00E3074D"/>
    <w:rsid w:val="00ED32AB"/>
    <w:rsid w:val="00F53468"/>
    <w:rsid w:val="24C850FD"/>
    <w:rsid w:val="28721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30" w:lineRule="exact"/>
      <w:jc w:val="both"/>
    </w:pPr>
    <w:rPr>
      <w:rFonts w:ascii="Calibri" w:hAnsi="Calibri" w:eastAsia="宋体" w:cs="宋体"/>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pPr>
      <w:spacing w:line="240" w:lineRule="auto"/>
    </w:pPr>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rFonts w:ascii="Calibri" w:hAnsi="Calibri" w:eastAsia="宋体" w:cs="宋体"/>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432</Words>
  <Characters>2468</Characters>
  <Lines>20</Lines>
  <Paragraphs>5</Paragraphs>
  <TotalTime>7</TotalTime>
  <ScaleCrop>false</ScaleCrop>
  <LinksUpToDate>false</LinksUpToDate>
  <CharactersWithSpaces>2895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2019-12-30T06:13:00Z</dcterms:created>
  <dc:creator>Administrator</dc:creator>
  <cp:lastModifiedBy>鲤鱼</cp:lastModifiedBy>
  <dcterms:modified xsi:type="dcterms:W3CDTF">2020-11-25T12:50:19Z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