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A0" w:rsidRPr="001518CE" w:rsidRDefault="000D7AA0" w:rsidP="000D7AA0">
      <w:pPr>
        <w:pStyle w:val="1"/>
        <w:adjustRightInd w:val="0"/>
        <w:snapToGrid w:val="0"/>
        <w:spacing w:before="0" w:after="0" w:line="500" w:lineRule="atLeast"/>
        <w:jc w:val="center"/>
        <w:rPr>
          <w:rFonts w:ascii="黑体" w:eastAsia="黑体"/>
          <w:b w:val="0"/>
          <w:sz w:val="32"/>
          <w:szCs w:val="32"/>
        </w:rPr>
      </w:pPr>
      <w:r w:rsidRPr="001518CE">
        <w:rPr>
          <w:rFonts w:ascii="黑体" w:eastAsia="黑体" w:hint="eastAsia"/>
          <w:b w:val="0"/>
          <w:sz w:val="32"/>
          <w:szCs w:val="32"/>
        </w:rPr>
        <w:t>江西财经大学硕士研究生培养方案总则</w:t>
      </w:r>
    </w:p>
    <w:p w:rsidR="000D7AA0" w:rsidRPr="001518CE" w:rsidRDefault="000D7AA0" w:rsidP="000D7AA0">
      <w:pPr>
        <w:pStyle w:val="1"/>
        <w:adjustRightInd w:val="0"/>
        <w:snapToGrid w:val="0"/>
        <w:spacing w:before="0" w:after="0" w:line="500" w:lineRule="atLeast"/>
        <w:jc w:val="center"/>
        <w:rPr>
          <w:rFonts w:ascii="黑体" w:eastAsia="黑体"/>
          <w:b w:val="0"/>
          <w:sz w:val="32"/>
          <w:szCs w:val="32"/>
        </w:rPr>
      </w:pPr>
      <w:r w:rsidRPr="001518CE">
        <w:rPr>
          <w:rFonts w:ascii="黑体" w:eastAsia="黑体" w:hint="eastAsia"/>
          <w:b w:val="0"/>
          <w:sz w:val="32"/>
          <w:szCs w:val="32"/>
        </w:rPr>
        <w:t>（2013年修订稿）</w:t>
      </w:r>
    </w:p>
    <w:p w:rsidR="000D7AA0" w:rsidRPr="001C5042" w:rsidRDefault="000D7AA0" w:rsidP="000D7AA0">
      <w:pPr>
        <w:adjustRightInd w:val="0"/>
        <w:snapToGrid w:val="0"/>
        <w:spacing w:line="440" w:lineRule="atLeast"/>
        <w:ind w:firstLineChars="200" w:firstLine="480"/>
        <w:rPr>
          <w:rFonts w:ascii="黑体" w:eastAsia="黑体" w:hAnsi="宋体"/>
          <w:color w:val="0000FF"/>
          <w:sz w:val="24"/>
        </w:rPr>
      </w:pPr>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hint="eastAsia"/>
          <w:spacing w:val="-6"/>
          <w:sz w:val="24"/>
        </w:rPr>
        <w:t>为加强和规范硕士研究生培养工作，提高硕士研究生培养质量，根据《中华人民共和国学位条例》、《中华人民共和国学位条例暂行实施办法》及教育部《关于加强和改进研究生培养工作的几点意见》（</w:t>
      </w:r>
      <w:r w:rsidRPr="004F650F">
        <w:rPr>
          <w:rFonts w:ascii="宋体" w:hAnsi="宋体"/>
          <w:spacing w:val="-6"/>
          <w:sz w:val="24"/>
        </w:rPr>
        <w:t>教研</w:t>
      </w:r>
      <w:r w:rsidRPr="004F650F">
        <w:rPr>
          <w:rFonts w:ascii="宋体" w:hAnsi="宋体"/>
          <w:sz w:val="24"/>
          <w:lang w:val="is-IS"/>
        </w:rPr>
        <w:t>〔</w:t>
      </w:r>
      <w:r w:rsidRPr="004F650F">
        <w:rPr>
          <w:rFonts w:ascii="宋体" w:hAnsi="宋体" w:hint="eastAsia"/>
          <w:sz w:val="24"/>
        </w:rPr>
        <w:t>2000</w:t>
      </w:r>
      <w:r w:rsidRPr="004F650F">
        <w:rPr>
          <w:rFonts w:ascii="宋体" w:hAnsi="宋体"/>
          <w:sz w:val="24"/>
          <w:lang w:val="is-IS"/>
        </w:rPr>
        <w:t>〕</w:t>
      </w:r>
      <w:r w:rsidRPr="004F650F">
        <w:rPr>
          <w:rFonts w:ascii="宋体" w:hAnsi="宋体"/>
          <w:spacing w:val="-6"/>
          <w:sz w:val="24"/>
        </w:rPr>
        <w:t>l号</w:t>
      </w:r>
      <w:r w:rsidRPr="004F650F">
        <w:rPr>
          <w:rFonts w:ascii="宋体" w:hAnsi="宋体" w:hint="eastAsia"/>
          <w:spacing w:val="-6"/>
          <w:sz w:val="24"/>
        </w:rPr>
        <w:t>）等文件精神，结合我校实际情况，特制定本总则。</w:t>
      </w:r>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hint="eastAsia"/>
          <w:spacing w:val="-6"/>
          <w:sz w:val="24"/>
        </w:rPr>
        <w:t>本总则适用于全日制统招</w:t>
      </w:r>
      <w:r>
        <w:rPr>
          <w:rFonts w:ascii="宋体" w:hAnsi="宋体" w:hint="eastAsia"/>
          <w:spacing w:val="-6"/>
          <w:sz w:val="24"/>
        </w:rPr>
        <w:t>学术型</w:t>
      </w:r>
      <w:r w:rsidRPr="004F650F">
        <w:rPr>
          <w:rFonts w:ascii="宋体" w:hAnsi="宋体" w:hint="eastAsia"/>
          <w:spacing w:val="-6"/>
          <w:sz w:val="24"/>
        </w:rPr>
        <w:t>硕士研究生（不含专业学位硕士研究生）。</w:t>
      </w:r>
    </w:p>
    <w:p w:rsidR="000D7AA0" w:rsidRPr="004F650F" w:rsidRDefault="000D7AA0" w:rsidP="000D7AA0">
      <w:pPr>
        <w:adjustRightInd w:val="0"/>
        <w:snapToGrid w:val="0"/>
        <w:spacing w:line="440" w:lineRule="atLeast"/>
        <w:ind w:firstLineChars="200" w:firstLine="456"/>
        <w:rPr>
          <w:rFonts w:ascii="黑体" w:eastAsia="黑体" w:hAnsi="宋体"/>
          <w:spacing w:val="-6"/>
          <w:sz w:val="24"/>
        </w:rPr>
      </w:pPr>
      <w:r w:rsidRPr="004F650F">
        <w:rPr>
          <w:rFonts w:ascii="黑体" w:eastAsia="黑体" w:hAnsi="宋体" w:hint="eastAsia"/>
          <w:spacing w:val="-6"/>
          <w:sz w:val="24"/>
        </w:rPr>
        <w:t>一、培养目标</w:t>
      </w:r>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hint="eastAsia"/>
          <w:spacing w:val="-6"/>
          <w:sz w:val="24"/>
        </w:rPr>
        <w:t>（一）总体目标</w:t>
      </w:r>
      <w:bookmarkStart w:id="0" w:name="_GoBack"/>
      <w:bookmarkEnd w:id="0"/>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hint="eastAsia"/>
          <w:spacing w:val="-6"/>
          <w:sz w:val="24"/>
        </w:rPr>
        <w:t>培养面向现代化、面向世界、面向未来的德、智、体、美全面发展的、具有“信敏廉毅”素质的创新创业型高层次人才。</w:t>
      </w:r>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hint="eastAsia"/>
          <w:spacing w:val="-6"/>
          <w:sz w:val="24"/>
        </w:rPr>
        <w:t>（二）基本要求</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spacing w:val="-6"/>
          <w:sz w:val="24"/>
        </w:rPr>
        <w:t>1、认真学习和掌握马列主义、毛泽东思想、邓</w:t>
      </w:r>
      <w:r w:rsidRPr="005B23AC">
        <w:rPr>
          <w:rFonts w:ascii="宋体" w:hAnsi="宋体"/>
          <w:spacing w:val="-6"/>
          <w:sz w:val="24"/>
        </w:rPr>
        <w:t>小平理论</w:t>
      </w:r>
      <w:r w:rsidRPr="005B23AC">
        <w:rPr>
          <w:rFonts w:ascii="宋体" w:hAnsi="宋体" w:hint="eastAsia"/>
          <w:spacing w:val="-6"/>
          <w:sz w:val="24"/>
        </w:rPr>
        <w:t>、</w:t>
      </w:r>
      <w:r w:rsidRPr="005B23AC">
        <w:rPr>
          <w:rFonts w:ascii="宋体" w:hAnsi="宋体"/>
          <w:spacing w:val="-6"/>
          <w:sz w:val="24"/>
        </w:rPr>
        <w:t>“三个代表”重要思想</w:t>
      </w:r>
      <w:r w:rsidRPr="005B23AC">
        <w:rPr>
          <w:rFonts w:ascii="宋体" w:hAnsi="宋体" w:hint="eastAsia"/>
          <w:spacing w:val="-6"/>
          <w:sz w:val="24"/>
        </w:rPr>
        <w:t>和科学发展观</w:t>
      </w:r>
      <w:r w:rsidRPr="005B23AC">
        <w:rPr>
          <w:rFonts w:ascii="宋体" w:hAnsi="宋体"/>
          <w:spacing w:val="-6"/>
          <w:sz w:val="24"/>
        </w:rPr>
        <w:t>，具有坚定正确的政治方向；热爱祖国，遵纪守法，品行端正，学风严谨；具有集体主义观念和较强的事业心</w:t>
      </w:r>
      <w:r w:rsidRPr="005B23AC">
        <w:rPr>
          <w:rFonts w:ascii="宋体" w:hAnsi="宋体" w:hint="eastAsia"/>
          <w:spacing w:val="-6"/>
          <w:sz w:val="24"/>
        </w:rPr>
        <w:t>及</w:t>
      </w:r>
      <w:r w:rsidRPr="005B23AC">
        <w:rPr>
          <w:rFonts w:ascii="宋体" w:hAnsi="宋体"/>
          <w:spacing w:val="-6"/>
          <w:sz w:val="24"/>
        </w:rPr>
        <w:t>奉献精神，积极为社会主义现代化建设服务。</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spacing w:val="-6"/>
          <w:sz w:val="24"/>
        </w:rPr>
        <w:t>2、掌握坚实的</w:t>
      </w:r>
      <w:r w:rsidRPr="005B23AC">
        <w:rPr>
          <w:rFonts w:ascii="宋体" w:hAnsi="宋体" w:hint="eastAsia"/>
          <w:spacing w:val="-6"/>
          <w:sz w:val="24"/>
        </w:rPr>
        <w:t>专业</w:t>
      </w:r>
      <w:r w:rsidRPr="005B23AC">
        <w:rPr>
          <w:rFonts w:ascii="宋体" w:hAnsi="宋体"/>
          <w:spacing w:val="-6"/>
          <w:sz w:val="24"/>
        </w:rPr>
        <w:t>基础理论和系统的专门知识，较为熟练地掌握一门外国语，具有从事科学研究工作或较强的实际工作能力</w:t>
      </w:r>
      <w:r w:rsidRPr="005B23AC">
        <w:rPr>
          <w:rFonts w:ascii="宋体" w:hAnsi="宋体" w:hint="eastAsia"/>
          <w:spacing w:val="-6"/>
          <w:sz w:val="24"/>
        </w:rPr>
        <w:t>。</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3、身心健康。</w:t>
      </w:r>
    </w:p>
    <w:p w:rsidR="000D7AA0" w:rsidRPr="001F11D5" w:rsidRDefault="000D7AA0" w:rsidP="000D7AA0">
      <w:pPr>
        <w:adjustRightInd w:val="0"/>
        <w:snapToGrid w:val="0"/>
        <w:spacing w:line="440" w:lineRule="atLeast"/>
        <w:ind w:firstLineChars="200" w:firstLine="456"/>
        <w:rPr>
          <w:rFonts w:ascii="黑体" w:eastAsia="黑体" w:hAnsi="宋体"/>
          <w:spacing w:val="-6"/>
          <w:sz w:val="24"/>
        </w:rPr>
      </w:pPr>
      <w:r w:rsidRPr="001F11D5">
        <w:rPr>
          <w:rFonts w:ascii="黑体" w:eastAsia="黑体" w:hAnsi="宋体" w:hint="eastAsia"/>
          <w:spacing w:val="-6"/>
          <w:sz w:val="24"/>
        </w:rPr>
        <w:t>二、学制与学习年限</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全日制硕士研究生标准学制为3年，实行2至4年弹性管理。研究生在校学习的</w:t>
      </w:r>
      <w:r w:rsidRPr="001552D6">
        <w:rPr>
          <w:rFonts w:ascii="宋体" w:hAnsi="宋体" w:hint="eastAsia"/>
          <w:spacing w:val="-6"/>
          <w:sz w:val="24"/>
        </w:rPr>
        <w:t>前三或四个</w:t>
      </w:r>
      <w:r w:rsidRPr="00E476B3">
        <w:rPr>
          <w:rFonts w:ascii="宋体" w:hAnsi="宋体" w:hint="eastAsia"/>
          <w:spacing w:val="-6"/>
          <w:sz w:val="24"/>
        </w:rPr>
        <w:t>学期为课</w:t>
      </w:r>
      <w:r w:rsidRPr="005B23AC">
        <w:rPr>
          <w:rFonts w:ascii="宋体" w:hAnsi="宋体" w:hint="eastAsia"/>
          <w:spacing w:val="-6"/>
          <w:sz w:val="24"/>
        </w:rPr>
        <w:t>程学习时间，第四、五、六学期为社会调研、论文撰写与答辩时间。</w:t>
      </w:r>
    </w:p>
    <w:p w:rsidR="000D7AA0"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硕士研究生学习年限最短为2年。成绩优秀的研究生经导师同意，可申请2年或2年半毕业，但须在预期毕业时间的前6个月，向</w:t>
      </w:r>
      <w:r>
        <w:rPr>
          <w:rFonts w:ascii="宋体" w:hAnsi="宋体" w:hint="eastAsia"/>
          <w:spacing w:val="-6"/>
          <w:sz w:val="24"/>
        </w:rPr>
        <w:t>研究生院</w:t>
      </w:r>
      <w:r w:rsidRPr="005B23AC">
        <w:rPr>
          <w:rFonts w:ascii="宋体" w:hAnsi="宋体" w:hint="eastAsia"/>
          <w:spacing w:val="-6"/>
          <w:sz w:val="24"/>
        </w:rPr>
        <w:t>提出毕业申请。申请毕业的硕士研究生在毕业时必须同时满足下列条件：</w:t>
      </w:r>
    </w:p>
    <w:p w:rsidR="000D7AA0" w:rsidRPr="00DB2D31" w:rsidRDefault="000D7AA0" w:rsidP="000D7AA0">
      <w:pPr>
        <w:pStyle w:val="a4"/>
        <w:numPr>
          <w:ilvl w:val="0"/>
          <w:numId w:val="1"/>
        </w:numPr>
        <w:adjustRightInd w:val="0"/>
        <w:snapToGrid w:val="0"/>
        <w:spacing w:line="440" w:lineRule="atLeast"/>
        <w:ind w:firstLineChars="0"/>
        <w:rPr>
          <w:rFonts w:ascii="宋体" w:hAnsi="宋体"/>
          <w:spacing w:val="-6"/>
          <w:sz w:val="24"/>
        </w:rPr>
      </w:pPr>
      <w:r w:rsidRPr="00DB2D31">
        <w:rPr>
          <w:rFonts w:ascii="宋体" w:hAnsi="宋体" w:hint="eastAsia"/>
          <w:spacing w:val="-6"/>
          <w:sz w:val="24"/>
        </w:rPr>
        <w:t>学位课程单科成绩不低于80分；</w:t>
      </w:r>
    </w:p>
    <w:p w:rsidR="000D7AA0" w:rsidRPr="00DB2D31" w:rsidRDefault="000D7AA0" w:rsidP="000D7AA0">
      <w:pPr>
        <w:pStyle w:val="a4"/>
        <w:numPr>
          <w:ilvl w:val="0"/>
          <w:numId w:val="1"/>
        </w:numPr>
        <w:adjustRightInd w:val="0"/>
        <w:snapToGrid w:val="0"/>
        <w:spacing w:line="440" w:lineRule="atLeast"/>
        <w:ind w:firstLineChars="0"/>
        <w:rPr>
          <w:rFonts w:ascii="宋体" w:hAnsi="宋体"/>
          <w:color w:val="FF0000"/>
          <w:spacing w:val="-6"/>
          <w:sz w:val="24"/>
        </w:rPr>
      </w:pPr>
      <w:r w:rsidRPr="00DB2D31">
        <w:rPr>
          <w:rFonts w:ascii="宋体" w:hAnsi="宋体" w:hint="eastAsia"/>
          <w:color w:val="FF0000"/>
          <w:spacing w:val="-6"/>
          <w:sz w:val="24"/>
        </w:rPr>
        <w:t>国家CET6考试,成绩达到425分</w:t>
      </w:r>
      <w:r>
        <w:rPr>
          <w:rFonts w:ascii="宋体" w:hAnsi="宋体" w:hint="eastAsia"/>
          <w:color w:val="FF0000"/>
          <w:spacing w:val="-6"/>
          <w:sz w:val="24"/>
        </w:rPr>
        <w:t>及</w:t>
      </w:r>
      <w:r w:rsidRPr="00DB2D31">
        <w:rPr>
          <w:rFonts w:ascii="宋体" w:hAnsi="宋体" w:hint="eastAsia"/>
          <w:color w:val="FF0000"/>
          <w:spacing w:val="-6"/>
          <w:sz w:val="24"/>
        </w:rPr>
        <w:t>以上</w:t>
      </w:r>
    </w:p>
    <w:p w:rsidR="000D7AA0" w:rsidRPr="005B23AC" w:rsidRDefault="000D7AA0" w:rsidP="000D7AA0">
      <w:pPr>
        <w:adjustRightInd w:val="0"/>
        <w:snapToGrid w:val="0"/>
        <w:spacing w:line="440" w:lineRule="atLeast"/>
        <w:ind w:firstLineChars="200" w:firstLine="456"/>
        <w:rPr>
          <w:rFonts w:ascii="宋体" w:hAnsi="宋体"/>
          <w:spacing w:val="-6"/>
          <w:sz w:val="24"/>
        </w:rPr>
      </w:pPr>
      <w:r>
        <w:rPr>
          <w:rFonts w:ascii="宋体" w:hAnsi="宋体" w:hint="eastAsia"/>
          <w:spacing w:val="-6"/>
          <w:sz w:val="24"/>
        </w:rPr>
        <w:t>3</w:t>
      </w:r>
      <w:r w:rsidRPr="005B23AC">
        <w:rPr>
          <w:rFonts w:ascii="宋体" w:hAnsi="宋体" w:hint="eastAsia"/>
          <w:spacing w:val="-6"/>
          <w:sz w:val="24"/>
        </w:rPr>
        <w:t>．取得科研学分不低于8分，其中须在CSSCI或CSCD来源期刊（含集刊不含扩展版）上独立发表专业学术论文（作者单位须署名江西财经大学）1篇及以上。</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lastRenderedPageBreak/>
        <w:t>因故不能按标准学制完成学业者，征得导师同意后，提前3个月向</w:t>
      </w:r>
      <w:r>
        <w:rPr>
          <w:rFonts w:ascii="宋体" w:hAnsi="宋体" w:hint="eastAsia"/>
          <w:spacing w:val="-6"/>
          <w:sz w:val="24"/>
        </w:rPr>
        <w:t>研究生院</w:t>
      </w:r>
      <w:r w:rsidRPr="005B23AC">
        <w:rPr>
          <w:rFonts w:ascii="宋体" w:hAnsi="宋体" w:hint="eastAsia"/>
          <w:spacing w:val="-6"/>
          <w:sz w:val="24"/>
        </w:rPr>
        <w:t>提出申请，经批准后方可延期。学习年限最长为4年，逾期取消学籍。</w:t>
      </w:r>
    </w:p>
    <w:p w:rsidR="000D7AA0" w:rsidRPr="001F11D5" w:rsidRDefault="000D7AA0" w:rsidP="000D7AA0">
      <w:pPr>
        <w:adjustRightInd w:val="0"/>
        <w:snapToGrid w:val="0"/>
        <w:spacing w:line="440" w:lineRule="atLeast"/>
        <w:ind w:firstLineChars="200" w:firstLine="456"/>
        <w:rPr>
          <w:rFonts w:ascii="黑体" w:eastAsia="黑体" w:hAnsi="宋体"/>
          <w:spacing w:val="-6"/>
          <w:sz w:val="24"/>
        </w:rPr>
      </w:pPr>
      <w:r w:rsidRPr="001F11D5">
        <w:rPr>
          <w:rFonts w:ascii="黑体" w:eastAsia="黑体" w:hAnsi="宋体" w:hint="eastAsia"/>
          <w:spacing w:val="-6"/>
          <w:sz w:val="24"/>
        </w:rPr>
        <w:t>三、学科专业和研究方向</w:t>
      </w:r>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spacing w:val="-6"/>
          <w:sz w:val="24"/>
        </w:rPr>
        <w:t>硕士研究生的学科、专业设置原则上应按照国务院学位委员会</w:t>
      </w:r>
      <w:r w:rsidRPr="004F650F">
        <w:rPr>
          <w:rFonts w:ascii="宋体" w:hAnsi="宋体" w:hint="eastAsia"/>
          <w:spacing w:val="-6"/>
          <w:sz w:val="24"/>
        </w:rPr>
        <w:t>2011</w:t>
      </w:r>
      <w:r w:rsidRPr="004F650F">
        <w:rPr>
          <w:rFonts w:ascii="宋体" w:hAnsi="宋体"/>
          <w:spacing w:val="-6"/>
          <w:sz w:val="24"/>
        </w:rPr>
        <w:t>年颁布的《学位授予和人才培养学科目录(2011年)》为依据，其专业属于二级学科，研究方向属于三级学科。</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4F650F">
        <w:rPr>
          <w:rFonts w:ascii="宋体" w:hAnsi="宋体"/>
          <w:spacing w:val="-6"/>
          <w:sz w:val="24"/>
        </w:rPr>
        <w:t>研究方向的</w:t>
      </w:r>
      <w:r w:rsidRPr="005B23AC">
        <w:rPr>
          <w:rFonts w:ascii="宋体" w:hAnsi="宋体"/>
          <w:spacing w:val="-6"/>
          <w:sz w:val="24"/>
        </w:rPr>
        <w:t>设置和调整，要努力把握本学科发展的主流和趋势，突出本学科已有的特色和优势，并力求体现前瞻性、先进性和前沿性。所设的每个研究方向均应有</w:t>
      </w:r>
      <w:r w:rsidRPr="005B23AC">
        <w:rPr>
          <w:rFonts w:ascii="宋体" w:hAnsi="宋体" w:hint="eastAsia"/>
          <w:spacing w:val="-6"/>
          <w:sz w:val="24"/>
        </w:rPr>
        <w:t>较强</w:t>
      </w:r>
      <w:r w:rsidRPr="005B23AC">
        <w:rPr>
          <w:rFonts w:ascii="宋体" w:hAnsi="宋体"/>
          <w:spacing w:val="-6"/>
          <w:sz w:val="24"/>
        </w:rPr>
        <w:t>的师资配备，并有丰富的研究成果</w:t>
      </w:r>
      <w:r w:rsidRPr="005B23AC">
        <w:rPr>
          <w:rFonts w:ascii="宋体" w:hAnsi="宋体" w:hint="eastAsia"/>
          <w:spacing w:val="-6"/>
          <w:sz w:val="24"/>
        </w:rPr>
        <w:t>；</w:t>
      </w:r>
      <w:r w:rsidRPr="005B23AC">
        <w:rPr>
          <w:rFonts w:ascii="宋体" w:hAnsi="宋体"/>
          <w:spacing w:val="-6"/>
          <w:sz w:val="24"/>
        </w:rPr>
        <w:t>同一专业内所设置的研究方向</w:t>
      </w:r>
      <w:r w:rsidRPr="005B23AC">
        <w:rPr>
          <w:rFonts w:ascii="宋体" w:hAnsi="宋体" w:hint="eastAsia"/>
          <w:spacing w:val="-6"/>
          <w:sz w:val="24"/>
        </w:rPr>
        <w:t>应</w:t>
      </w:r>
      <w:r w:rsidRPr="005B23AC">
        <w:rPr>
          <w:rFonts w:ascii="宋体" w:hAnsi="宋体"/>
          <w:spacing w:val="-6"/>
          <w:sz w:val="24"/>
        </w:rPr>
        <w:t>相对稳定</w:t>
      </w:r>
      <w:r w:rsidRPr="005B23AC">
        <w:rPr>
          <w:rFonts w:ascii="宋体" w:hAnsi="宋体" w:hint="eastAsia"/>
          <w:spacing w:val="-6"/>
          <w:sz w:val="24"/>
        </w:rPr>
        <w:t>，数量一般为2至3个</w:t>
      </w:r>
      <w:r w:rsidRPr="005B23AC">
        <w:rPr>
          <w:rFonts w:ascii="宋体" w:hAnsi="宋体"/>
          <w:spacing w:val="-6"/>
          <w:sz w:val="24"/>
        </w:rPr>
        <w:t>；所设研究方向应全面体现该专业发展前沿状况，应在总体上对本二级学科的主要研究领域有一定范围的覆盖面，不宜过宽或过窄。鼓励有条件的学位点设置一些跨学科的研究方向，以促进学科专业间的合作、交叉与渗透。</w:t>
      </w:r>
    </w:p>
    <w:p w:rsidR="000D7AA0" w:rsidRPr="005B23AC" w:rsidRDefault="000D7AA0" w:rsidP="000D7AA0">
      <w:pPr>
        <w:adjustRightInd w:val="0"/>
        <w:snapToGrid w:val="0"/>
        <w:spacing w:line="440" w:lineRule="atLeast"/>
        <w:ind w:firstLineChars="200" w:firstLine="456"/>
        <w:rPr>
          <w:rFonts w:ascii="黑体" w:eastAsia="黑体" w:hAnsi="宋体"/>
          <w:spacing w:val="-6"/>
          <w:sz w:val="24"/>
        </w:rPr>
      </w:pPr>
      <w:r w:rsidRPr="005B23AC">
        <w:rPr>
          <w:rFonts w:ascii="黑体" w:eastAsia="黑体" w:hAnsi="宋体" w:hint="eastAsia"/>
          <w:spacing w:val="-6"/>
          <w:sz w:val="24"/>
        </w:rPr>
        <w:t>四、学分体系</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研究生在校期间应修满规定的总学分，学分分为课程学分、社会调研学分和科研学分三类。总学分最低</w:t>
      </w:r>
      <w:r w:rsidRPr="001552D6">
        <w:rPr>
          <w:rFonts w:ascii="宋体" w:hAnsi="宋体" w:hint="eastAsia"/>
          <w:spacing w:val="-6"/>
          <w:sz w:val="24"/>
        </w:rPr>
        <w:t>为39学分</w:t>
      </w:r>
      <w:r w:rsidRPr="005B23AC">
        <w:rPr>
          <w:rFonts w:ascii="宋体" w:hAnsi="宋体" w:hint="eastAsia"/>
          <w:spacing w:val="-6"/>
          <w:sz w:val="24"/>
        </w:rPr>
        <w:t>，三类学分必须分别修满，方可参加学位论文答辩。各研究生培养单位可在此基础上根据培养需要，确定各专业和研究方向所需修满的最低学分，但不得低于总则标准。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1、课程学分：研究生在校学习期间应修满的课程总学分最低为35学分。应修课程分为学位课、必修课和选修课。一般按每学分为16课时安排。</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课程成绩要求</w:t>
      </w:r>
      <w:r>
        <w:rPr>
          <w:rFonts w:ascii="宋体" w:hAnsi="宋体" w:hint="eastAsia"/>
          <w:spacing w:val="-6"/>
          <w:sz w:val="24"/>
        </w:rPr>
        <w:t>：</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学位课课程成绩75分及以上为合格，其他课60分及以上为合格。第一外语为英语者（以入学考试参加的外语语种为准），需参加国家CET6考试,成绩达到425分以上方能授予学位。第一外语为其它语种者，需参加学校组织的同等水平测试，成绩合格者方能授予学位。</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2、社会调研学分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研究生必须从事与专业要求相符的社会调研活动</w:t>
      </w:r>
      <w:r w:rsidRPr="00E476B3">
        <w:rPr>
          <w:rFonts w:ascii="宋体" w:hAnsi="宋体" w:hint="eastAsia"/>
          <w:spacing w:val="-6"/>
          <w:sz w:val="24"/>
        </w:rPr>
        <w:t>，计2学分。</w:t>
      </w:r>
      <w:r w:rsidRPr="005B23AC">
        <w:rPr>
          <w:rFonts w:ascii="宋体" w:hAnsi="宋体" w:hint="eastAsia"/>
          <w:spacing w:val="-6"/>
          <w:sz w:val="24"/>
        </w:rPr>
        <w:t>调研应按计划进行。调研结束后，须向导师提交社会调研报告，导师根据社会调研报告质量评定成绩，成绩分为合格与不合格两等次，评定为不合格者，需重新撰写调研报告直至通过为止。社会调研一般安排在第四、五学期，各学院（研究院所）也可根据需要，利用假期进行。</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3、科研学分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lastRenderedPageBreak/>
        <w:t>硕士研究生在校学习期间，应取得</w:t>
      </w:r>
      <w:r w:rsidRPr="001552D6">
        <w:rPr>
          <w:rFonts w:ascii="宋体" w:hAnsi="宋体" w:hint="eastAsia"/>
          <w:spacing w:val="-6"/>
          <w:sz w:val="24"/>
        </w:rPr>
        <w:t>2学</w:t>
      </w:r>
      <w:r w:rsidRPr="005B23AC">
        <w:rPr>
          <w:rFonts w:ascii="宋体" w:hAnsi="宋体" w:hint="eastAsia"/>
          <w:spacing w:val="-6"/>
          <w:sz w:val="24"/>
        </w:rPr>
        <w:t>分及以上的科研学分。科研学分的具体计算办法如下：</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1）在著名权威专业刊物上独立发表专业学术论文，每篇计20学分；在一般权威专业刊物上独立发表专业学术论文，每篇计10学分；在CSSCI或CSCD来源刊物上独立发表专业学术论文，每篇计4学分；在北大版中文核心刊物（最近版）上独立发表专业学术论文，每篇计3学分；在一般刊物（包括论文集）上独立发表专业学术论文，每篇计2学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所发表论文的作者单位须为江西财经大学，否则不予认定学分；发表论文的级别论定按《江西财经大学学术期刊目录》规定执行；《江西财经大学学报》视为CSSCI相同级别；《江西经济分析》视为一般核心，发表后经省级及以上领导批示，可视为CSSCI相同级别；</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合作发表论文者，若合作者为其导师，可视为研究生的独立成果计算学分，当合作者为其他人时，按每篇文章学分数除以作者总人数为作者的科研学分数；作者的署名顺序与学分计算无关（下同）。</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（2）参</w:t>
      </w:r>
      <w:proofErr w:type="gramStart"/>
      <w:r w:rsidRPr="005B23AC">
        <w:rPr>
          <w:rFonts w:ascii="宋体" w:hAnsi="宋体" w:hint="eastAsia"/>
          <w:spacing w:val="-6"/>
          <w:sz w:val="24"/>
        </w:rPr>
        <w:t>编公开</w:t>
      </w:r>
      <w:proofErr w:type="gramEnd"/>
      <w:r w:rsidRPr="005B23AC">
        <w:rPr>
          <w:rFonts w:ascii="宋体" w:hAnsi="宋体" w:hint="eastAsia"/>
          <w:spacing w:val="-6"/>
          <w:sz w:val="24"/>
        </w:rPr>
        <w:t>出版的专业教材或著作，</w:t>
      </w:r>
      <w:proofErr w:type="gramStart"/>
      <w:r w:rsidRPr="005B23AC">
        <w:rPr>
          <w:rFonts w:ascii="宋体" w:hAnsi="宋体" w:hint="eastAsia"/>
          <w:spacing w:val="-6"/>
          <w:sz w:val="24"/>
        </w:rPr>
        <w:t>每独立</w:t>
      </w:r>
      <w:proofErr w:type="gramEnd"/>
      <w:r w:rsidRPr="005B23AC">
        <w:rPr>
          <w:rFonts w:ascii="宋体" w:hAnsi="宋体" w:hint="eastAsia"/>
          <w:spacing w:val="-6"/>
          <w:sz w:val="24"/>
        </w:rPr>
        <w:t>完成一章计2学分。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（3）担任公开出版的专业教材或著作的主编或副主编，每本计4学分。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（4）</w:t>
      </w:r>
      <w:proofErr w:type="gramStart"/>
      <w:r w:rsidRPr="005B23AC">
        <w:rPr>
          <w:rFonts w:ascii="宋体" w:hAnsi="宋体" w:hint="eastAsia"/>
          <w:spacing w:val="-6"/>
          <w:sz w:val="24"/>
        </w:rPr>
        <w:t>每主持</w:t>
      </w:r>
      <w:proofErr w:type="gramEnd"/>
      <w:r w:rsidRPr="005B23AC">
        <w:rPr>
          <w:rFonts w:ascii="宋体" w:hAnsi="宋体" w:hint="eastAsia"/>
          <w:spacing w:val="-6"/>
          <w:sz w:val="24"/>
        </w:rPr>
        <w:t>完成一项校级课题研究计2学分。</w:t>
      </w:r>
      <w:proofErr w:type="gramStart"/>
      <w:r w:rsidRPr="005B23AC">
        <w:rPr>
          <w:rFonts w:ascii="宋体" w:hAnsi="宋体" w:hint="eastAsia"/>
          <w:spacing w:val="-6"/>
          <w:sz w:val="24"/>
        </w:rPr>
        <w:t>每参与</w:t>
      </w:r>
      <w:proofErr w:type="gramEnd"/>
      <w:r w:rsidRPr="005B23AC">
        <w:rPr>
          <w:rFonts w:ascii="宋体" w:hAnsi="宋体" w:hint="eastAsia"/>
          <w:spacing w:val="-6"/>
          <w:sz w:val="24"/>
        </w:rPr>
        <w:t>已通过鉴定的一项校级课题研究计1学分。</w:t>
      </w:r>
      <w:proofErr w:type="gramStart"/>
      <w:r w:rsidRPr="005B23AC">
        <w:rPr>
          <w:rFonts w:ascii="宋体" w:hAnsi="宋体" w:hint="eastAsia"/>
          <w:spacing w:val="-6"/>
          <w:sz w:val="24"/>
        </w:rPr>
        <w:t>每主持</w:t>
      </w:r>
      <w:proofErr w:type="gramEnd"/>
      <w:r w:rsidRPr="005B23AC">
        <w:rPr>
          <w:rFonts w:ascii="宋体" w:hAnsi="宋体" w:hint="eastAsia"/>
          <w:spacing w:val="-6"/>
          <w:sz w:val="24"/>
        </w:rPr>
        <w:t>完成一项省级课题（含江西省研究生创新项目）研究计4学分，</w:t>
      </w:r>
      <w:proofErr w:type="gramStart"/>
      <w:r w:rsidRPr="005B23AC">
        <w:rPr>
          <w:rFonts w:ascii="宋体" w:hAnsi="宋体" w:hint="eastAsia"/>
          <w:spacing w:val="-6"/>
          <w:sz w:val="24"/>
        </w:rPr>
        <w:t>每参与</w:t>
      </w:r>
      <w:proofErr w:type="gramEnd"/>
      <w:r w:rsidRPr="005B23AC">
        <w:rPr>
          <w:rFonts w:ascii="宋体" w:hAnsi="宋体" w:hint="eastAsia"/>
          <w:spacing w:val="-6"/>
          <w:sz w:val="24"/>
        </w:rPr>
        <w:t>已通过鉴定的省级课题计2学分。</w:t>
      </w:r>
    </w:p>
    <w:p w:rsidR="000D7AA0" w:rsidRPr="004F650F"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（5）</w:t>
      </w:r>
      <w:r w:rsidRPr="004F650F">
        <w:rPr>
          <w:rFonts w:ascii="宋体" w:hAnsi="宋体" w:hint="eastAsia"/>
          <w:spacing w:val="-6"/>
          <w:sz w:val="24"/>
        </w:rPr>
        <w:t>参加国内外学术会议，提交的每篇学术论文（以论文</w:t>
      </w:r>
      <w:proofErr w:type="gramStart"/>
      <w:r w:rsidRPr="004F650F">
        <w:rPr>
          <w:rFonts w:ascii="宋体" w:hAnsi="宋体" w:hint="eastAsia"/>
          <w:spacing w:val="-6"/>
          <w:sz w:val="24"/>
        </w:rPr>
        <w:t>宣读证</w:t>
      </w:r>
      <w:proofErr w:type="gramEnd"/>
      <w:r w:rsidRPr="004F650F">
        <w:rPr>
          <w:rFonts w:ascii="宋体" w:hAnsi="宋体" w:hint="eastAsia"/>
          <w:spacing w:val="-6"/>
          <w:sz w:val="24"/>
        </w:rPr>
        <w:t>为准）计2学分（外文论文计3学分），或参加并提交的学术论文若入选会议论文集（含光盘）计2学分（外文论文计3学分）；若收入正式出版的会议论文集计2学分（若以外文形式计3学分）。</w:t>
      </w:r>
    </w:p>
    <w:p w:rsidR="000D7AA0" w:rsidRPr="005B23AC" w:rsidRDefault="000D7AA0" w:rsidP="000D7AA0">
      <w:pPr>
        <w:adjustRightInd w:val="0"/>
        <w:snapToGrid w:val="0"/>
        <w:spacing w:line="440" w:lineRule="atLeast"/>
        <w:ind w:firstLineChars="200" w:firstLine="456"/>
        <w:rPr>
          <w:rFonts w:ascii="黑体" w:eastAsia="黑体" w:hAnsi="宋体"/>
          <w:spacing w:val="-6"/>
          <w:sz w:val="24"/>
        </w:rPr>
      </w:pPr>
      <w:r w:rsidRPr="005B23AC">
        <w:rPr>
          <w:rFonts w:ascii="黑体" w:eastAsia="黑体" w:hAnsi="宋体" w:hint="eastAsia"/>
          <w:spacing w:val="-6"/>
          <w:sz w:val="24"/>
        </w:rPr>
        <w:t>五、课程设置</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（一）各专业研究生的课程设置由各学院（研究院所）根据所设研究方向的专业特点组织制定，由</w:t>
      </w:r>
      <w:r>
        <w:rPr>
          <w:rFonts w:ascii="宋体" w:hAnsi="宋体" w:hint="eastAsia"/>
          <w:spacing w:val="-6"/>
          <w:sz w:val="24"/>
        </w:rPr>
        <w:t>研究生院</w:t>
      </w:r>
      <w:r w:rsidRPr="005B23AC">
        <w:rPr>
          <w:rFonts w:ascii="宋体" w:hAnsi="宋体" w:hint="eastAsia"/>
          <w:spacing w:val="-6"/>
          <w:sz w:val="24"/>
        </w:rPr>
        <w:t>组织实施。课程设置确定后，各学院（研究院所）应严格执行，不得随意变更。变更须经本专业导师小组研究通过，并由</w:t>
      </w:r>
      <w:r>
        <w:rPr>
          <w:rFonts w:ascii="宋体" w:hAnsi="宋体" w:hint="eastAsia"/>
          <w:spacing w:val="-6"/>
          <w:sz w:val="24"/>
        </w:rPr>
        <w:t>研究生院</w:t>
      </w:r>
      <w:r w:rsidRPr="005B23AC">
        <w:rPr>
          <w:rFonts w:ascii="宋体" w:hAnsi="宋体" w:hint="eastAsia"/>
          <w:spacing w:val="-6"/>
          <w:sz w:val="24"/>
        </w:rPr>
        <w:t>审核认可后方能生效。</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二）在课程设置时，应根据各专业和研究方向的特点和要求，本着宽、新、深、实的原则，开设各具特色的课程，制定出与科学技术发展、与经济和社会可持续发展的需要相适应的课程计划。二级学科下的研究方向的区别在设置课程时通过</w:t>
      </w:r>
      <w:r w:rsidRPr="005B23AC">
        <w:rPr>
          <w:rFonts w:ascii="宋体" w:hAnsi="宋体" w:hint="eastAsia"/>
          <w:spacing w:val="-6"/>
          <w:sz w:val="24"/>
        </w:rPr>
        <w:lastRenderedPageBreak/>
        <w:t>选修课程的</w:t>
      </w:r>
      <w:proofErr w:type="gramStart"/>
      <w:r w:rsidRPr="005B23AC">
        <w:rPr>
          <w:rFonts w:ascii="宋体" w:hAnsi="宋体" w:hint="eastAsia"/>
          <w:spacing w:val="-6"/>
          <w:sz w:val="24"/>
        </w:rPr>
        <w:t>的</w:t>
      </w:r>
      <w:proofErr w:type="gramEnd"/>
      <w:r w:rsidRPr="005B23AC">
        <w:rPr>
          <w:rFonts w:ascii="宋体" w:hAnsi="宋体" w:hint="eastAsia"/>
          <w:spacing w:val="-6"/>
          <w:sz w:val="24"/>
        </w:rPr>
        <w:t>区别来反映，每个二级学科只能制定一份课程设置表。</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（三）公共学位课和公共必修课，由</w:t>
      </w:r>
      <w:r>
        <w:rPr>
          <w:rFonts w:ascii="宋体" w:hAnsi="宋体" w:hint="eastAsia"/>
          <w:spacing w:val="-6"/>
          <w:sz w:val="24"/>
        </w:rPr>
        <w:t>研究生院</w:t>
      </w:r>
      <w:r w:rsidRPr="005B23AC">
        <w:rPr>
          <w:rFonts w:ascii="宋体" w:hAnsi="宋体" w:hint="eastAsia"/>
          <w:spacing w:val="-6"/>
          <w:sz w:val="24"/>
        </w:rPr>
        <w:t>根据教育部有关文件和本专业培养特点设置。其中，马克思主义理论课，按照教育部颁发的《关于高等学校研究生马克思主义理论课（公共课）教学的若干规定》安排教学，外国语按照教育部关于研究生外国语学习与考试的有关规定和要求组织教学。</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（四）专业课程的设置应重点突出本专业新理论、新知识。</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（五）一些更新快、周期短、专业性较强、不适合统一开设的课程，一般不纳入专业培养方案中，由各学科、专业以讲座的形式自行组织本专业的学生听课。</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（六）在课程设置时应考虑将方法论的课程纳入到课程设置计划中。专业课程体系结构示意图见附件。</w:t>
      </w:r>
    </w:p>
    <w:p w:rsidR="000D7AA0" w:rsidRPr="005B23AC" w:rsidRDefault="000D7AA0" w:rsidP="000D7AA0">
      <w:pPr>
        <w:adjustRightInd w:val="0"/>
        <w:snapToGrid w:val="0"/>
        <w:spacing w:line="440" w:lineRule="atLeast"/>
        <w:ind w:firstLineChars="200" w:firstLine="456"/>
        <w:rPr>
          <w:rFonts w:ascii="黑体" w:eastAsia="黑体" w:hAnsi="宋体"/>
          <w:spacing w:val="-6"/>
          <w:sz w:val="24"/>
        </w:rPr>
      </w:pPr>
      <w:r w:rsidRPr="005B23AC">
        <w:rPr>
          <w:rFonts w:ascii="黑体" w:eastAsia="黑体" w:hAnsi="宋体" w:hint="eastAsia"/>
          <w:spacing w:val="-6"/>
          <w:sz w:val="24"/>
        </w:rPr>
        <w:t>六、课程考核</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所有课程应在每学期结束前举行课程考核。经考核合格，可取得相应课程学分。具体考核办法按照《江西财经大学硕士研究生培养管理办法》有关规定执行。</w:t>
      </w:r>
    </w:p>
    <w:p w:rsidR="000D7AA0" w:rsidRPr="005B23AC" w:rsidRDefault="000D7AA0" w:rsidP="000D7AA0">
      <w:pPr>
        <w:adjustRightInd w:val="0"/>
        <w:snapToGrid w:val="0"/>
        <w:spacing w:line="440" w:lineRule="atLeast"/>
        <w:ind w:firstLineChars="200" w:firstLine="456"/>
        <w:rPr>
          <w:rFonts w:ascii="黑体" w:eastAsia="黑体" w:hAnsi="宋体"/>
          <w:spacing w:val="-6"/>
          <w:sz w:val="24"/>
        </w:rPr>
      </w:pPr>
      <w:r w:rsidRPr="005B23AC">
        <w:rPr>
          <w:rFonts w:ascii="黑体" w:eastAsia="黑体" w:hAnsi="宋体" w:hint="eastAsia"/>
          <w:spacing w:val="-6"/>
          <w:sz w:val="24"/>
        </w:rPr>
        <w:t>七、中期考核</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中期考核一般在入校后第4学期完成，具体考核办法详见《江西财经大学硕士研究生中期考核实施细则》。</w:t>
      </w:r>
    </w:p>
    <w:p w:rsidR="000D7AA0" w:rsidRPr="005B23AC" w:rsidRDefault="000D7AA0" w:rsidP="000D7AA0">
      <w:pPr>
        <w:adjustRightInd w:val="0"/>
        <w:snapToGrid w:val="0"/>
        <w:spacing w:line="440" w:lineRule="atLeast"/>
        <w:ind w:firstLineChars="200" w:firstLine="456"/>
        <w:rPr>
          <w:rFonts w:ascii="黑体" w:eastAsia="黑体" w:hAnsi="宋体"/>
          <w:spacing w:val="-6"/>
          <w:sz w:val="24"/>
        </w:rPr>
      </w:pPr>
      <w:r w:rsidRPr="005B23AC">
        <w:rPr>
          <w:rFonts w:ascii="黑体" w:eastAsia="黑体" w:hAnsi="宋体" w:hint="eastAsia"/>
          <w:spacing w:val="-6"/>
          <w:sz w:val="24"/>
        </w:rPr>
        <w:t>八、学位论文</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学位论文是培养研究生创新能力，综合运用所学知识发现问题、分析问题和解决问题能力的重要环节，也是评判学位申请人学术水平的重要依据和获得学位的必要条件之一。</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硕士学位论文应能表明作者确已在本门学科上掌握了坚实的基础理论和系统的专门知识，并对所研究课题有新的见解，有从事科学研究工作或独立担负专门技术工作的能力。</w:t>
      </w:r>
    </w:p>
    <w:p w:rsidR="000D7AA0" w:rsidRPr="005B23AC" w:rsidRDefault="000D7AA0" w:rsidP="000D7AA0">
      <w:pPr>
        <w:adjustRightInd w:val="0"/>
        <w:snapToGrid w:val="0"/>
        <w:spacing w:line="440" w:lineRule="atLeast"/>
        <w:ind w:firstLineChars="200" w:firstLine="456"/>
        <w:rPr>
          <w:rFonts w:ascii="宋体" w:hAnsi="宋体"/>
          <w:spacing w:val="-6"/>
          <w:sz w:val="24"/>
        </w:rPr>
      </w:pPr>
      <w:r w:rsidRPr="005B23AC">
        <w:rPr>
          <w:rFonts w:ascii="宋体" w:hAnsi="宋体" w:hint="eastAsia"/>
          <w:spacing w:val="-6"/>
          <w:sz w:val="24"/>
        </w:rPr>
        <w:t>硕士研究生一般应在第二学期内</w:t>
      </w:r>
      <w:r w:rsidRPr="005B23AC">
        <w:rPr>
          <w:rFonts w:ascii="宋体" w:hAnsi="宋体"/>
          <w:spacing w:val="-6"/>
          <w:sz w:val="24"/>
        </w:rPr>
        <w:t>通过阅读文献、收集资料和调查研究后</w:t>
      </w:r>
      <w:r w:rsidRPr="005B23AC">
        <w:rPr>
          <w:rFonts w:ascii="宋体" w:hAnsi="宋体" w:hint="eastAsia"/>
          <w:spacing w:val="-6"/>
          <w:sz w:val="24"/>
        </w:rPr>
        <w:t>确定论文题目范围，第四</w:t>
      </w:r>
      <w:proofErr w:type="gramStart"/>
      <w:r w:rsidRPr="005B23AC">
        <w:rPr>
          <w:rFonts w:ascii="宋体" w:hAnsi="宋体" w:hint="eastAsia"/>
          <w:spacing w:val="-6"/>
          <w:sz w:val="24"/>
        </w:rPr>
        <w:t>学期第</w:t>
      </w:r>
      <w:proofErr w:type="gramEnd"/>
      <w:r w:rsidRPr="005B23AC">
        <w:rPr>
          <w:rFonts w:ascii="宋体" w:hAnsi="宋体" w:hint="eastAsia"/>
          <w:spacing w:val="-6"/>
          <w:sz w:val="24"/>
        </w:rPr>
        <w:t>四周前</w:t>
      </w:r>
      <w:r w:rsidRPr="005B23AC">
        <w:rPr>
          <w:rFonts w:ascii="宋体" w:hAnsi="宋体"/>
          <w:spacing w:val="-6"/>
          <w:sz w:val="24"/>
        </w:rPr>
        <w:t>内</w:t>
      </w:r>
      <w:r w:rsidRPr="005B23AC">
        <w:rPr>
          <w:rFonts w:ascii="宋体" w:hAnsi="宋体" w:hint="eastAsia"/>
          <w:spacing w:val="-6"/>
          <w:sz w:val="24"/>
        </w:rPr>
        <w:t>完成开题报告。导师及各院（所）学位</w:t>
      </w:r>
      <w:proofErr w:type="gramStart"/>
      <w:r w:rsidRPr="005B23AC">
        <w:rPr>
          <w:rFonts w:ascii="宋体" w:hAnsi="宋体" w:hint="eastAsia"/>
          <w:spacing w:val="-6"/>
          <w:sz w:val="24"/>
        </w:rPr>
        <w:t>评定分</w:t>
      </w:r>
      <w:proofErr w:type="gramEnd"/>
      <w:r w:rsidRPr="005B23AC">
        <w:rPr>
          <w:rFonts w:ascii="宋体" w:hAnsi="宋体" w:hint="eastAsia"/>
          <w:spacing w:val="-6"/>
          <w:sz w:val="24"/>
        </w:rPr>
        <w:t>委员会负责检查硕士研究生学位论文写作的进展情况。硕士研究生的学位论文自开题至答辩至少应该有八个月的时间间隔。硕士学位论文的撰写、评阅与答辩要求等应依据《中华人民共和国学位条例暂行实施办法》以及《江西财经大学学位授予工作细则》、《江西财经大学博士、硕士学位论文撰写规范》等文件规定执行。</w:t>
      </w:r>
    </w:p>
    <w:p w:rsidR="000D7AA0" w:rsidRPr="005B23AC" w:rsidRDefault="000D7AA0" w:rsidP="000D7AA0">
      <w:pPr>
        <w:adjustRightInd w:val="0"/>
        <w:snapToGrid w:val="0"/>
        <w:spacing w:line="440" w:lineRule="atLeast"/>
        <w:ind w:firstLineChars="200" w:firstLine="456"/>
        <w:rPr>
          <w:rFonts w:ascii="黑体" w:eastAsia="黑体" w:hAnsi="宋体"/>
          <w:spacing w:val="-6"/>
          <w:sz w:val="24"/>
        </w:rPr>
      </w:pPr>
      <w:r w:rsidRPr="005B23AC">
        <w:rPr>
          <w:rFonts w:ascii="黑体" w:eastAsia="黑体" w:hAnsi="宋体" w:hint="eastAsia"/>
          <w:spacing w:val="-6"/>
          <w:sz w:val="24"/>
        </w:rPr>
        <w:t>九、本总则由</w:t>
      </w:r>
      <w:r>
        <w:rPr>
          <w:rFonts w:ascii="黑体" w:eastAsia="黑体" w:hAnsi="宋体" w:hint="eastAsia"/>
          <w:spacing w:val="-6"/>
          <w:sz w:val="24"/>
        </w:rPr>
        <w:t>研究生院</w:t>
      </w:r>
      <w:r w:rsidRPr="005B23AC">
        <w:rPr>
          <w:rFonts w:ascii="黑体" w:eastAsia="黑体" w:hAnsi="宋体" w:hint="eastAsia"/>
          <w:spacing w:val="-6"/>
          <w:sz w:val="24"/>
        </w:rPr>
        <w:t>负责解释。</w:t>
      </w:r>
    </w:p>
    <w:p w:rsidR="000D7AA0" w:rsidRPr="00CB620F" w:rsidRDefault="000D7AA0" w:rsidP="000D7AA0">
      <w:pPr>
        <w:adjustRightInd w:val="0"/>
        <w:snapToGrid w:val="0"/>
        <w:spacing w:line="440" w:lineRule="atLeast"/>
        <w:ind w:firstLineChars="200" w:firstLine="456"/>
        <w:rPr>
          <w:rFonts w:ascii="黑体" w:eastAsia="黑体" w:hAnsi="宋体"/>
          <w:spacing w:val="-6"/>
          <w:sz w:val="24"/>
        </w:rPr>
      </w:pPr>
      <w:r w:rsidRPr="00CB620F">
        <w:rPr>
          <w:rFonts w:ascii="黑体" w:eastAsia="黑体" w:hAnsi="宋体" w:hint="eastAsia"/>
          <w:spacing w:val="-6"/>
          <w:sz w:val="24"/>
        </w:rPr>
        <w:t>十、本总则自20</w:t>
      </w:r>
      <w:r>
        <w:rPr>
          <w:rFonts w:ascii="黑体" w:eastAsia="黑体" w:hAnsi="宋体" w:hint="eastAsia"/>
          <w:spacing w:val="-6"/>
          <w:sz w:val="24"/>
        </w:rPr>
        <w:t>11</w:t>
      </w:r>
      <w:r w:rsidRPr="00CB620F">
        <w:rPr>
          <w:rFonts w:ascii="黑体" w:eastAsia="黑体" w:hAnsi="宋体" w:hint="eastAsia"/>
          <w:spacing w:val="-6"/>
          <w:sz w:val="24"/>
        </w:rPr>
        <w:t>级硕士研究生开始实施。</w:t>
      </w:r>
    </w:p>
    <w:p w:rsidR="000D7AA0" w:rsidRDefault="000D7AA0" w:rsidP="000D7AA0">
      <w:pPr>
        <w:adjustRightInd w:val="0"/>
        <w:snapToGrid w:val="0"/>
        <w:spacing w:line="440" w:lineRule="atLeast"/>
        <w:ind w:firstLineChars="200" w:firstLine="458"/>
        <w:rPr>
          <w:rFonts w:ascii="宋体" w:hAnsi="宋体"/>
          <w:b/>
          <w:spacing w:val="-6"/>
          <w:sz w:val="24"/>
        </w:rPr>
      </w:pPr>
    </w:p>
    <w:p w:rsidR="000D7AA0" w:rsidRPr="005B23AC" w:rsidRDefault="000D7AA0" w:rsidP="000D7AA0">
      <w:pPr>
        <w:adjustRightInd w:val="0"/>
        <w:snapToGrid w:val="0"/>
        <w:spacing w:line="440" w:lineRule="atLeast"/>
        <w:ind w:firstLineChars="200" w:firstLine="458"/>
        <w:rPr>
          <w:rFonts w:ascii="宋体" w:hAnsi="宋体"/>
          <w:spacing w:val="-6"/>
          <w:sz w:val="24"/>
        </w:rPr>
      </w:pPr>
      <w:r w:rsidRPr="00CB620F">
        <w:rPr>
          <w:rFonts w:ascii="宋体" w:hAnsi="宋体" w:hint="eastAsia"/>
          <w:b/>
          <w:spacing w:val="-6"/>
          <w:sz w:val="24"/>
        </w:rPr>
        <w:t>附件：</w:t>
      </w:r>
      <w:r w:rsidRPr="005B23AC">
        <w:rPr>
          <w:rFonts w:ascii="宋体" w:hAnsi="宋体" w:hint="eastAsia"/>
          <w:spacing w:val="-6"/>
          <w:sz w:val="24"/>
        </w:rPr>
        <w:t>江西财经大学硕士研究生专业课程体系结构示意图（以企业管理专业为例）</w:t>
      </w:r>
    </w:p>
    <w:p w:rsidR="000D7AA0" w:rsidRDefault="000D7AA0" w:rsidP="000D7AA0">
      <w:pPr>
        <w:pStyle w:val="a3"/>
        <w:adjustRightInd w:val="0"/>
        <w:snapToGrid w:val="0"/>
        <w:spacing w:after="0" w:line="440" w:lineRule="atLeast"/>
        <w:ind w:leftChars="0" w:left="0" w:firstLineChars="200" w:firstLine="480"/>
        <w:rPr>
          <w:rFonts w:ascii="宋体" w:hAnsi="宋体"/>
          <w:sz w:val="24"/>
        </w:rPr>
      </w:pPr>
    </w:p>
    <w:p w:rsidR="000D7AA0" w:rsidRDefault="000D7AA0" w:rsidP="000D7AA0">
      <w:pPr>
        <w:pStyle w:val="a3"/>
        <w:adjustRightInd w:val="0"/>
        <w:snapToGrid w:val="0"/>
        <w:spacing w:after="0" w:line="440" w:lineRule="atLeast"/>
        <w:ind w:leftChars="0" w:left="0" w:firstLineChars="200" w:firstLine="480"/>
        <w:rPr>
          <w:rFonts w:ascii="宋体" w:hAnsi="宋体"/>
          <w:sz w:val="24"/>
        </w:rPr>
      </w:pPr>
    </w:p>
    <w:p w:rsidR="000D7AA0" w:rsidRPr="005B23AC" w:rsidRDefault="000D7AA0" w:rsidP="000D7AA0">
      <w:pPr>
        <w:pStyle w:val="a3"/>
        <w:adjustRightInd w:val="0"/>
        <w:snapToGrid w:val="0"/>
        <w:spacing w:after="0" w:line="440" w:lineRule="atLeast"/>
        <w:ind w:leftChars="0" w:left="0" w:firstLineChars="200" w:firstLine="480"/>
        <w:rPr>
          <w:rFonts w:ascii="宋体" w:hAnsi="宋体"/>
          <w:sz w:val="24"/>
        </w:rPr>
      </w:pPr>
    </w:p>
    <w:p w:rsidR="000D7AA0" w:rsidRPr="005B23AC" w:rsidRDefault="000D7AA0" w:rsidP="000D7AA0">
      <w:pPr>
        <w:pStyle w:val="a3"/>
        <w:adjustRightInd w:val="0"/>
        <w:snapToGrid w:val="0"/>
        <w:spacing w:after="0" w:line="440" w:lineRule="atLeast"/>
        <w:ind w:leftChars="0" w:left="0" w:firstLineChars="750" w:firstLine="1807"/>
        <w:rPr>
          <w:rFonts w:ascii="宋体" w:hAnsi="宋体"/>
          <w:b/>
          <w:sz w:val="24"/>
        </w:rPr>
      </w:pPr>
      <w:r w:rsidRPr="005B23AC">
        <w:rPr>
          <w:rFonts w:ascii="宋体" w:hAnsi="宋体" w:hint="eastAsia"/>
          <w:b/>
          <w:sz w:val="24"/>
        </w:rPr>
        <w:t xml:space="preserve">学科性质     </w:t>
      </w:r>
      <w:r>
        <w:rPr>
          <w:rFonts w:ascii="宋体" w:hAnsi="宋体" w:hint="eastAsia"/>
          <w:b/>
          <w:sz w:val="24"/>
        </w:rPr>
        <w:t xml:space="preserve"> </w:t>
      </w:r>
      <w:r w:rsidRPr="005B23AC">
        <w:rPr>
          <w:rFonts w:ascii="宋体" w:hAnsi="宋体" w:hint="eastAsia"/>
          <w:b/>
          <w:sz w:val="24"/>
        </w:rPr>
        <w:t xml:space="preserve">  须开设的课程</w:t>
      </w:r>
    </w:p>
    <w:p w:rsidR="000D7AA0" w:rsidRPr="005B23AC" w:rsidRDefault="000D7AA0" w:rsidP="000D7AA0">
      <w:pPr>
        <w:adjustRightInd w:val="0"/>
        <w:snapToGrid w:val="0"/>
        <w:spacing w:line="440" w:lineRule="atLeast"/>
        <w:ind w:firstLineChars="200" w:firstLine="482"/>
        <w:rPr>
          <w:rFonts w:ascii="宋体" w:hAnsi="宋体"/>
          <w:b/>
          <w:color w:val="000000"/>
          <w:sz w:val="24"/>
        </w:rPr>
      </w:pPr>
      <w:r>
        <w:rPr>
          <w:rFonts w:ascii="宋体" w:hAnsi="宋体"/>
          <w:b/>
          <w:noProof/>
          <w:color w:val="000000"/>
          <w:sz w:val="24"/>
        </w:rPr>
        <w:pict>
          <v:group id="组合 25" o:spid="_x0000_s1026" style="position:absolute;left:0;text-align:left;margin-left:66.75pt;margin-top:3.8pt;width:302.25pt;height:297.4pt;z-index:251660288" coordorigin="3223,4894" coordsize="603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K32QYAABE+AAAOAAAAZHJzL2Uyb0RvYy54bWzsW8ty40QU3VPFP6i091gttV6ucaamnGSK&#10;qgGmGGDfkWRboBctJU6g2LFgyf/wPRS/we3b3ZLsOPHEExvGKAtHsuRW932cPvehl69u88y4SXid&#10;lsXUJC8s00iKqIzTYjE1v/v2chSYRt2wImZZWSRT8y6pzVdnn3/2clVNErtcllmccAMGKerJqpqa&#10;y6apJuNxHS2TnNUvyiop4OK85Dlr4JQvxjFnKxg9z8a2ZXnjVcnjipdRUtfw7bm8aJ7h+PN5EjVf&#10;z+d10hjZ1IS5NfjJ8fNKfI7PXrLJgrNqmUZqGmyPWeQsLeCh7VDnrGHGNU/vDZWnES/rct68iMp8&#10;XM7naZTgGmA1xNpYzRteXle4lsVktahaMYFoN+S097DRVzfvuJHGU9N2TaNgOejo7z9/++uP3w34&#10;AqSzqhYTuOkNr95X77hcIhy+LaMfa7g83rwuzhfyZuNq9WUZw4DsuilROrdznoshYN3GLSrhrlVC&#10;ctsYEXzpBE7g+jCZCK45vu+FgVJTtARdit85tu2YBlymQUilCqPlhfq9ZzlE/tgNwkBcHbOJfDBO&#10;Vk1OrAxMru6kWn+cVN8vWZWgsmohMC1VT0v1NQgB7zEcKVe8TQu1lhI1inK2ZMUiec15uVomLIZZ&#10;EVyEmC6MK38gTmrQx04Rt6JyA4L6ZBMtaOJSJWUKB305sUnF6+ZNUuaGOJiaqyReJN+AM81YlpXX&#10;DSqT3bytGzSIWBkOi38A0c/zDFzohmXGyKaupX2sd5Pdv8n2fa0lNSLoSz9fDF+XWRpfplmGJ3xx&#10;Ncu4AcNPzUv8U1Nfuy0rjNXUDF2w4ceHsPBv2xB52gAyZWk+NYP2JjYROrkoYhAXmzQszeQxTDkr&#10;0BukXqR1NbdXt3CjUNZVGd+BungpEQgQEw6WJf/ZNFaAPlOz/uma8cQ0si8KUHlIKBVwhSfU9W04&#10;4f0rV/0rrIhgqKnZmIY8nDUS4q4rni6W8CSCYihKYYTztBHK7malTsAXjuUU/n2nQD9es3HQ/IGc&#10;wgWMQfzwPHfDKWzigagF9FDqHcYpAkLR4GGzeNAnLAtmKF3yFJ0CNxyEtc4KB9+Q2zAQJrkNdxuG&#10;2oh7+H8432g3jPu+QTwBQwf1DUJdLxSG/4hzjAjsZbirAOqerHfYQgqDd6AIenQq1N7xNi0SAxFa&#10;bRqz4h1XInuYGRnzLK2+1/uhoqFOSNV2YHsKmTVHUvbu+KiOlkh2BEURpAxm05EiCdx9DlOUgsCg&#10;XT8DNYGwQDGQLWzEaO4q4NwNT4FHZsAogAjlSQzMIoEITRzJ6Qm+gmRQsTixZIxYfgmt8CK4COiI&#10;2t7FiFrn56PXlzM68i6J754757PZOflVrJbQyTKN46QQi9PRE6EfxqNVHCfjnjZ+agU1Xh8dWTxM&#10;Uf/HSSOHEcrue4pYnTCJ49EZB6xEQjYapa89F8z2GYzSJ9Z2oySeu4OhDFb5f7ZKCMU2iQQaksJL&#10;GUgegUgEvua7GlX7kecOE94z8gQgV8T+QY49Io7tnjyNaHMNQwDay8o4kIHoITYyzqfQCLFzKvJA&#10;fQcYO8SLoSUDxi7B4uhQUluZTn9pZvDfIw8DNegln5+UVN2e/nOAWPYMTYYte1qaa6msZ2DpjKgG&#10;VEVTbZtiGuWT4KmDqT2zqdF1U2vTKx9KQ3ug9oipEfvTQ7UhJDp6SASVhT7utdmMjzFGYjkuWnW3&#10;xQ7WOATo/frvA7twW4TDAJ20pPhjrBH43kbtYDDGwRg/wBi3FL/IMatfnuNAFhUiFiitY/Tdwakd&#10;QpEYM/yeu4NJ7hmYj+zA0zX7B0NzH2aoH3+yCf5W5UNk3o/Mt5S/ZOPCkdJWnq1qw4HvoYq2eUdw&#10;MO9wqSw1PFL/gpq1f/Le0ZY8B+/oe8d6+Ys8T/2LBrr+FVgbJu+KLhRR8ZU9SLqRaqh/DfUv4M6q&#10;x03YyGalgfSrYIcuNbSYHYYUI83tmL0jDbsvoyGha+0sNtiEEl1DPllK08LRANo90KZbCnHkX6nE&#10;0ZCiW3bucfhK3IgEnq+yNg8S/hG0FoGYZEr4ZN2jhcTBPfrusV6LI08uxj3e0+M6IaZ7OptXjIZa&#10;qI9PolYyJLCPncAWjHiT00D3IyDUkeLQtke5e8dBV/tsC5obDtyH6VNnF6ehHnFPvkm53acHzO5j&#10;9nqt0cat+yll7a2Y3cahLgkVY9Am38ahOzj80PH2P+54E68z3cPsfuXx0HFoi9luYG/GoYfHbBu6&#10;c9E9HskdQvrdljmeU+6dbynkANp90F6vgkIzUcdm9u9T7kA71GHeANqn0TyPr8vCe8fYc6/ekRYv&#10;NvfPsdm+e5P77B8AAAD//wMAUEsDBBQABgAIAAAAIQCGIx/z4AAAAAkBAAAPAAAAZHJzL2Rvd25y&#10;ZXYueG1sTI9BS8NAFITvgv9heYI3u0lj0xKzKaWopyLYCuJtm31NQrNvQ3abpP/e58kehxlmvsnX&#10;k23FgL1vHCmIZxEIpNKZhioFX4e3pxUIHzQZ3TpCBVf0sC7u73KdGTfSJw77UAkuIZ9pBXUIXSal&#10;L2u02s9ch8TeyfVWB5Z9JU2vRy63rZxHUSqtbogXat3htsbyvL9YBe+jHjdJ/Drszqft9eew+Pje&#10;xajU48O0eQERcAr/YfjDZ3QomOnoLmS8aFknyYKjCpYpCPaXyYq/HRWk0fwZZJHL2wfFLwAAAP//&#10;AwBQSwECLQAUAAYACAAAACEAtoM4kv4AAADhAQAAEwAAAAAAAAAAAAAAAAAAAAAAW0NvbnRlbnRf&#10;VHlwZXNdLnhtbFBLAQItABQABgAIAAAAIQA4/SH/1gAAAJQBAAALAAAAAAAAAAAAAAAAAC8BAABf&#10;cmVscy8ucmVsc1BLAQItABQABgAIAAAAIQDCOTK32QYAABE+AAAOAAAAAAAAAAAAAAAAAC4CAABk&#10;cnMvZTJvRG9jLnhtbFBLAQItABQABgAIAAAAIQCGIx/z4AAAAAkBAAAPAAAAAAAAAAAAAAAAADMJ&#10;AABkcnMvZG93bnJldi54bWxQSwUGAAAAAAQABADzAAAAQAo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3223;top:5815;width:1545;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zd8UA&#10;AADbAAAADwAAAGRycy9kb3ducmV2LnhtbESPT2sCMRTE7wW/Q3iCt5p1DyKrcRFB1HooVVva22Pz&#10;9g9uXpYkdddv3xQKPQ4z8xtmlQ+mFXdyvrGsYDZNQBAXVjdcKbheds8LED4ga2wtk4IHecjXo6cV&#10;Ztr2/Eb3c6hEhLDPUEEdQpdJ6YuaDPqp7YijV1pnMETpKqkd9hFuWpkmyVwabDgu1NjRtqbidv42&#10;CoJZ9Kb4fD/tXz9eXHl8JF/H9KbUZDxsliACDeE//Nc+aAXpH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3N3xQAAANsAAAAPAAAAAAAAAAAAAAAAAJgCAABkcnMv&#10;ZG93bnJldi54bWxQSwUGAAAAAAQABAD1AAAAigMAAAAA&#10;" adj="5508,11400">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管理类</w:t>
                    </w:r>
                  </w:p>
                </w:txbxContent>
              </v:textbox>
            </v:shape>
            <v:shape id="AutoShape 4" o:spid="_x0000_s1028" type="#_x0000_t61" style="position:absolute;left:5383;top:6655;width:216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1LsMA&#10;AADbAAAADwAAAGRycy9kb3ducmV2LnhtbESPT4vCMBTE78J+h/AW9iI2VdAu1SiyIHhZ0Cp7fjSv&#10;f7R5KU1W229vBMHjMDO/YVab3jTiRp2rLSuYRjEI4tzqmksF59Nu8g3CeWSNjWVSMJCDzfpjtMJU&#10;2zsf6Zb5UgQIuxQVVN63qZQur8igi2xLHLzCdgZ9kF0pdYf3ADeNnMXxQhqsOSxU2NJPRfk1+zcK&#10;tvNk+LuMk+l4MZS/2UEXRWMKpb4+++0ShKfev8Ov9l4rmCX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A1LsMAAADbAAAADwAAAAAAAAAAAAAAAACYAgAAZHJzL2Rv&#10;d25yZXYueG1sUEsFBgAAAAAEAAQA9QAAAIgDAAAAAA==&#10;" adj="9040,15138">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管理经济理论等</w:t>
                    </w:r>
                  </w:p>
                </w:txbxContent>
              </v:textbox>
            </v:shape>
            <v:shape id="AutoShape 5" o:spid="_x0000_s1029" type="#_x0000_t61" style="position:absolute;left:3223;top:6655;width:162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sMEA&#10;AADbAAAADwAAAGRycy9kb3ducmV2LnhtbERPz2vCMBS+D/wfwhO8zVQPMqpRRBFkh4m6w7w9mtem&#10;2LyUJLbVv345DHb8+H6vNoNtREc+1I4VzKYZCOLC6ZorBd/Xw/sHiBCRNTaOScGTAmzWo7cV5tr1&#10;fKbuEiuRQjjkqMDE2OZShsKQxTB1LXHiSuctxgR9JbXHPoXbRs6zbCEt1pwaDLa0M1TcLw+r4OvQ&#10;+09ZysVPuT93t+PL8PU0KDUZD9sliEhD/Bf/uY9awTyNTV/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e7LDBAAAA2wAAAA8AAAAAAAAAAAAAAAAAmAIAAGRycy9kb3du&#10;cmV2LnhtbFBLBQYAAAAABAAEAPUAAACGAwAAAAA=&#10;" adj="7653,7385">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工商管理</w:t>
                    </w:r>
                  </w:p>
                </w:txbxContent>
              </v:textbox>
            </v:shape>
            <v:line id="Line 6" o:spid="_x0000_s1030" style="position:absolute;flip:y;visibility:visible" from="3943,6268" to="3943,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7" o:spid="_x0000_s1031" style="position:absolute;flip:y;visibility:visible" from="3943,7108" to="3943,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AutoShape 8" o:spid="_x0000_s1032" type="#_x0000_t61" style="position:absolute;left:3223;top:8748;width:1545;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EacUA&#10;AADbAAAADwAAAGRycy9kb3ducmV2LnhtbESPQWvCQBSE7wX/w/KE3urGWqxEV9GCUEM9mAp6fM2+&#10;JsHs27C7jfHfd4VCj8PMfMMsVr1pREfO15YVjEcJCOLC6ppLBcfP7dMMhA/IGhvLpOBGHlbLwcMC&#10;U22vfKAuD6WIEPYpKqhCaFMpfVGRQT+yLXH0vq0zGKJ0pdQOrxFuGvmcJFNpsOa4UGFLbxUVl/zH&#10;KGB5/NpL97q75dlpc8k+XnZddlbqcdiv5yAC9eE//Nd+1womY7h/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cRpxQAAANsAAAAPAAAAAAAAAAAAAAAAAJgCAABkcnMv&#10;ZG93bnJldi54bWxQSwUGAAAAAAQABAD1AAAAigMAAAAA&#10;" adj="11380,7938">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企业管理</w:t>
                    </w:r>
                  </w:p>
                </w:txbxContent>
              </v:textbox>
            </v:shape>
            <v:line id="Line 9" o:spid="_x0000_s1033" style="position:absolute;visibility:visible" from="4738,9046" to="5098,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34" style="position:absolute;visibility:visible" from="5023,8080" to="5023,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1" o:spid="_x0000_s1035" style="position:absolute;visibility:visible" from="5023,8080" to="6283,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2" o:spid="_x0000_s1036" style="position:absolute;visibility:visible" from="5023,10351" to="6283,1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3" o:spid="_x0000_s1037" style="position:absolute;visibility:visible" from="5023,9045" to="6283,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AutoShape 14" o:spid="_x0000_s1038" type="#_x0000_t61" style="position:absolute;left:6339;top:7696;width:2915;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TgMQA&#10;AADbAAAADwAAAGRycy9kb3ducmV2LnhtbESPQWvCQBSE7wX/w/KE3nSjpSrRVbRUWgo9NHrw+Mg+&#10;k+ju25Bdk/jvuwWhx2FmvmFWm94a0VLjK8cKJuMEBHHudMWFguNhP1qA8AFZo3FMCu7kYbMePK0w&#10;1a7jH2qzUIgIYZ+igjKEOpXS5yVZ9GNXE0fv7BqLIcqmkLrBLsKtkdMkmUmLFceFEmt6Kym/Zjer&#10;oL287/i1On249tt8Xcz03s2umVLPw367BBGoD//hR/tTK3iZ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U4DEAAAA2wAAAA8AAAAAAAAAAAAAAAAAmAIAAGRycy9k&#10;b3ducmV2LnhtbFBLBQYAAAAABAAEAPUAAACJAwAAAAA=&#10;" adj="4602,26653">
              <v:textbox>
                <w:txbxContent>
                  <w:p w:rsidR="000D7AA0" w:rsidRPr="009B2720" w:rsidRDefault="000D7AA0" w:rsidP="000D7AA0">
                    <w:pPr>
                      <w:snapToGrid w:val="0"/>
                      <w:spacing w:line="240" w:lineRule="exact"/>
                      <w:rPr>
                        <w:rFonts w:ascii="仿宋_GB2312" w:eastAsia="仿宋_GB2312"/>
                      </w:rPr>
                    </w:pPr>
                    <w:r w:rsidRPr="009B2720">
                      <w:rPr>
                        <w:rFonts w:ascii="仿宋_GB2312" w:eastAsia="仿宋_GB2312" w:hint="eastAsia"/>
                      </w:rPr>
                      <w:t>外语、计量机、科学研究方法和信息资料检索等</w:t>
                    </w:r>
                  </w:p>
                </w:txbxContent>
              </v:textbox>
            </v:shape>
            <v:shape id="AutoShape 15" o:spid="_x0000_s1039" type="#_x0000_t61" style="position:absolute;left:6283;top:8764;width:2915;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mxcMA&#10;AADbAAAADwAAAGRycy9kb3ducmV2LnhtbERPW2vCMBR+F/wP4Qh7GTN1A5FqFBHG5kRBHV7ezpqz&#10;tqw5KUms9d+bh4GPH999MmtNJRpyvrSsYNBPQBBnVpecK/jev7+MQPiArLGyTApu5GE27XYmmGp7&#10;5S01u5CLGMI+RQVFCHUqpc8KMuj7tiaO3K91BkOELpfa4TWGm0q+JslQGiw5NhRY06Kg7G93MQpO&#10;y9PXYH/eHJ6HjePjx2ptfiqt1FOvnY9BBGrDQ/zv/tQK3uLY+CX+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smxcMAAADbAAAADwAAAAAAAAAAAAAAAACYAgAAZHJzL2Rv&#10;d25yZXYueG1sUEsFBgAAAAAEAAQA9QAAAIgDAAAAAA==&#10;" adj="5298,24964">
              <v:textbox>
                <w:txbxContent>
                  <w:p w:rsidR="000D7AA0" w:rsidRPr="009B2720" w:rsidRDefault="000D7AA0" w:rsidP="000D7AA0">
                    <w:pPr>
                      <w:snapToGrid w:val="0"/>
                      <w:spacing w:line="240" w:lineRule="exact"/>
                      <w:rPr>
                        <w:rFonts w:ascii="仿宋_GB2312" w:eastAsia="仿宋_GB2312"/>
                      </w:rPr>
                    </w:pPr>
                    <w:r w:rsidRPr="009B2720">
                      <w:rPr>
                        <w:rFonts w:ascii="仿宋_GB2312" w:eastAsia="仿宋_GB2312" w:hint="eastAsia"/>
                      </w:rPr>
                      <w:t>财务理论、会计理论、企业理论、管理学、经济学、法学等课程</w:t>
                    </w:r>
                  </w:p>
                </w:txbxContent>
              </v:textbox>
            </v:shape>
            <v:line id="Line 16" o:spid="_x0000_s1040" style="position:absolute;flip:y;visibility:visible" from="4843,6804" to="538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shape id="AutoShape 17" o:spid="_x0000_s1041" type="#_x0000_t61" style="position:absolute;left:6283;top:9942;width:291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CW8EA&#10;AADbAAAADwAAAGRycy9kb3ducmV2LnhtbERPTYvCMBC9C/6HMMLeNFUWkWoUEZVlwYPuongbm7Et&#10;NpOSRK3+enMQPD7e92TWmErcyPnSsoJ+LwFBnFldcq7g/2/VHYHwAVljZZkUPMjDbNpuTTDV9s5b&#10;uu1CLmII+xQVFCHUqZQ+K8ig79maOHJn6wyGCF0utcN7DDeVHCTJUBosOTYUWNOioOyyuxoFm9Xo&#10;ebxeDgd3yrbr36Xc14ONUeqr08zHIAI14SN+u3+0gu+4Pn6JP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QlvBAAAA2wAAAA8AAAAAAAAAAAAAAAAAmAIAAGRycy9kb3du&#10;cmV2LnhtbFBLBQYAAAAABAAEAPUAAACGAwAAAAA=&#10;" adj="6587,6175">
              <v:textbox>
                <w:txbxContent>
                  <w:p w:rsidR="000D7AA0" w:rsidRPr="009B2720" w:rsidRDefault="000D7AA0" w:rsidP="000D7AA0">
                    <w:pPr>
                      <w:snapToGrid w:val="0"/>
                      <w:spacing w:line="240" w:lineRule="exact"/>
                      <w:rPr>
                        <w:rFonts w:ascii="仿宋_GB2312" w:eastAsia="仿宋_GB2312"/>
                      </w:rPr>
                    </w:pPr>
                    <w:r w:rsidRPr="009B2720">
                      <w:rPr>
                        <w:rFonts w:ascii="仿宋_GB2312" w:eastAsia="仿宋_GB2312" w:hint="eastAsia"/>
                      </w:rPr>
                      <w:t>组织行为学、企业经营管理、战略管理、人力资源管理、营销管理等</w:t>
                    </w:r>
                  </w:p>
                </w:txbxContent>
              </v:textbox>
            </v:shape>
            <v:shape id="AutoShape 18" o:spid="_x0000_s1042" type="#_x0000_t61" style="position:absolute;left:3223;top:4947;width:1545;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1MMUA&#10;AADbAAAADwAAAGRycy9kb3ducmV2LnhtbESPQWvCQBSE74X+h+UVeilmo6hIzCqlKLW3GgU9PrOv&#10;SWj2bciuJvrruwXB4zAz3zDpsje1uFDrKssKhlEMgji3uuJCwX63HsxAOI+ssbZMCq7kYLl4fkox&#10;0bbjLV0yX4gAYZeggtL7JpHS5SUZdJFtiIP3Y1uDPsi2kLrFLsBNLUdxPJUGKw4LJTb0UVL+m52N&#10;gul393a7GtqsTtnhPKPj1+FzNVHq9aV/n4Pw1PtH+N7eaAXjIfx/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vUwxQAAANsAAAAPAAAAAAAAAAAAAAAAAJgCAABkcnMv&#10;ZG93bnJldi54bWxQSwUGAAAAAAQABAD1AAAAigMAAAAA&#10;" adj="6767,7292">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社会科学</w:t>
                    </w:r>
                  </w:p>
                </w:txbxContent>
              </v:textbox>
            </v:shape>
            <v:line id="Line 19" o:spid="_x0000_s1043" style="position:absolute;flip:y;visibility:visible" from="3943,5393" to="3943,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AutoShape 20" o:spid="_x0000_s1044" type="#_x0000_t61" style="position:absolute;left:5383;top:4894;width:2085;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dfMEA&#10;AADbAAAADwAAAGRycy9kb3ducmV2LnhtbESPzarCMBSE94LvEI7gTlP1KlKNIoJQuZvrLy4PzbEt&#10;NieliVrf/kYQXA4z8w0zXzamFA+qXWFZwaAfgSBOrS44U3A8bHpTEM4jaywtk4IXOVgu2q05xto+&#10;eUePvc9EgLCLUUHufRVL6dKcDLq+rYiDd7W1QR9knUld4zPATSmHUTSRBgsOCzlWtM4pve3vRsEl&#10;2f79nk+bxp11Mh7oUfIaolWq22lWMxCeGv8Nf9qJVvAzgv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EnXzBAAAA2wAAAA8AAAAAAAAAAAAAAAAAmAIAAGRycy9kb3du&#10;cmV2LnhtbFBLBQYAAAAABAAEAPUAAACGAwAAAAA=&#10;" adj="7034,20769">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马克思主义理论课</w:t>
                    </w:r>
                  </w:p>
                </w:txbxContent>
              </v:textbox>
            </v:shape>
            <v:line id="Line 21" o:spid="_x0000_s1045" style="position:absolute;flip:y;visibility:visible" from="4843,5191" to="538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AutoShape 22" o:spid="_x0000_s1046" type="#_x0000_t61" style="position:absolute;left:5383;top:5822;width:2085;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768QA&#10;AADbAAAADwAAAGRycy9kb3ducmV2LnhtbESPQWsCMRSE7wX/Q3hCL6VmV1opW6PIokXpoVSl58fm&#10;uVncvCxJXNd/3wiFHoeZ+YaZLwfbip58aBwryCcZCOLK6YZrBcfD5vkNRIjIGlvHpOBGAZaL0cMc&#10;C+2u/E39PtYiQTgUqMDE2BVShsqQxTBxHXHyTs5bjEn6WmqP1wS3rZxm2UxabDgtGOyoNFSd9xer&#10;oC/Lzufl2jwddb77/Lh9/WzPUqnH8bB6BxFpiP/hv/ZWK3h5hfu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O+vEAAAA2wAAAA8AAAAAAAAAAAAAAAAAmAIAAGRycy9k&#10;b3ducmV2LnhtbFBLBQYAAAAABAAEAPUAAACJAwAAAAA=&#10;" adj="6102,4708">
              <v:textbox>
                <w:txbxContent>
                  <w:p w:rsidR="000D7AA0" w:rsidRPr="009B2720" w:rsidRDefault="000D7AA0" w:rsidP="000D7AA0">
                    <w:pPr>
                      <w:snapToGrid w:val="0"/>
                      <w:spacing w:line="240" w:lineRule="exact"/>
                      <w:jc w:val="center"/>
                      <w:rPr>
                        <w:rFonts w:ascii="仿宋_GB2312" w:eastAsia="仿宋_GB2312"/>
                      </w:rPr>
                    </w:pPr>
                    <w:r w:rsidRPr="009B2720">
                      <w:rPr>
                        <w:rFonts w:ascii="仿宋_GB2312" w:eastAsia="仿宋_GB2312" w:hint="eastAsia"/>
                      </w:rPr>
                      <w:t>高级管理理论等</w:t>
                    </w:r>
                  </w:p>
                  <w:p w:rsidR="000D7AA0" w:rsidRPr="00426CE7" w:rsidRDefault="000D7AA0" w:rsidP="000D7AA0">
                    <w:pPr>
                      <w:snapToGrid w:val="0"/>
                      <w:spacing w:line="240" w:lineRule="exact"/>
                      <w:rPr>
                        <w:szCs w:val="21"/>
                      </w:rPr>
                    </w:pPr>
                  </w:p>
                </w:txbxContent>
              </v:textbox>
            </v:shape>
            <v:line id="Line 23" o:spid="_x0000_s1047" style="position:absolute;flip:y;visibility:visible" from="4843,5971" to="5383,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group>
        </w:pict>
      </w: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tabs>
          <w:tab w:val="left" w:pos="7410"/>
        </w:tabs>
        <w:adjustRightInd w:val="0"/>
        <w:snapToGrid w:val="0"/>
        <w:spacing w:line="440" w:lineRule="atLeast"/>
        <w:ind w:firstLineChars="200" w:firstLine="482"/>
        <w:rPr>
          <w:rFonts w:ascii="宋体" w:hAnsi="宋体"/>
          <w:b/>
          <w:color w:val="000000"/>
          <w:sz w:val="24"/>
        </w:rPr>
      </w:pPr>
      <w:r>
        <w:rPr>
          <w:rFonts w:ascii="宋体" w:hAnsi="宋体"/>
          <w:b/>
          <w:color w:val="000000"/>
          <w:sz w:val="24"/>
        </w:rPr>
        <w:tab/>
      </w: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Pr="005B23AC" w:rsidRDefault="000D7AA0" w:rsidP="000D7AA0">
      <w:pPr>
        <w:adjustRightInd w:val="0"/>
        <w:snapToGrid w:val="0"/>
        <w:spacing w:line="440" w:lineRule="atLeast"/>
        <w:ind w:firstLineChars="200" w:firstLine="482"/>
        <w:rPr>
          <w:rFonts w:ascii="宋体" w:hAnsi="宋体"/>
          <w:b/>
          <w:color w:val="000000"/>
          <w:sz w:val="24"/>
        </w:rPr>
      </w:pPr>
    </w:p>
    <w:p w:rsidR="000D7AA0" w:rsidRDefault="000D7AA0" w:rsidP="000D7AA0">
      <w:pPr>
        <w:pStyle w:val="1"/>
        <w:adjustRightInd w:val="0"/>
        <w:snapToGrid w:val="0"/>
        <w:spacing w:before="0" w:after="0" w:line="500" w:lineRule="atLeast"/>
        <w:jc w:val="center"/>
        <w:rPr>
          <w:rFonts w:eastAsia="黑体"/>
          <w:b w:val="0"/>
          <w:sz w:val="32"/>
          <w:szCs w:val="32"/>
        </w:rPr>
      </w:pPr>
    </w:p>
    <w:p w:rsidR="000D7AA0" w:rsidRDefault="000D7AA0" w:rsidP="000D7AA0">
      <w:pPr>
        <w:pStyle w:val="1"/>
        <w:adjustRightInd w:val="0"/>
        <w:snapToGrid w:val="0"/>
        <w:spacing w:before="0" w:after="0" w:line="500" w:lineRule="atLeast"/>
        <w:jc w:val="center"/>
        <w:rPr>
          <w:rFonts w:eastAsia="黑体"/>
          <w:b w:val="0"/>
          <w:sz w:val="32"/>
          <w:szCs w:val="32"/>
        </w:rPr>
      </w:pPr>
    </w:p>
    <w:p w:rsidR="00810183" w:rsidRDefault="00810183"/>
    <w:sectPr w:rsidR="00810183" w:rsidSect="00544B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71C4"/>
    <w:multiLevelType w:val="hybridMultilevel"/>
    <w:tmpl w:val="BC60610E"/>
    <w:lvl w:ilvl="0" w:tplc="78FAA314">
      <w:start w:val="1"/>
      <w:numFmt w:val="decimal"/>
      <w:lvlText w:val="%1．"/>
      <w:lvlJc w:val="left"/>
      <w:pPr>
        <w:ind w:left="816" w:hanging="36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AA0"/>
    <w:rsid w:val="00010794"/>
    <w:rsid w:val="000526D8"/>
    <w:rsid w:val="00056A8E"/>
    <w:rsid w:val="000C374C"/>
    <w:rsid w:val="000D7AA0"/>
    <w:rsid w:val="00114491"/>
    <w:rsid w:val="001548E9"/>
    <w:rsid w:val="001B2D11"/>
    <w:rsid w:val="001E0F0F"/>
    <w:rsid w:val="00215A8F"/>
    <w:rsid w:val="0027559A"/>
    <w:rsid w:val="002A2743"/>
    <w:rsid w:val="002E0FD7"/>
    <w:rsid w:val="003402A1"/>
    <w:rsid w:val="004A6A5F"/>
    <w:rsid w:val="00544B57"/>
    <w:rsid w:val="00553AF9"/>
    <w:rsid w:val="005A380B"/>
    <w:rsid w:val="006329E3"/>
    <w:rsid w:val="006A0808"/>
    <w:rsid w:val="006E15C4"/>
    <w:rsid w:val="006E1885"/>
    <w:rsid w:val="00793447"/>
    <w:rsid w:val="00810183"/>
    <w:rsid w:val="00813B19"/>
    <w:rsid w:val="00826F54"/>
    <w:rsid w:val="00844C11"/>
    <w:rsid w:val="00886633"/>
    <w:rsid w:val="00886BEC"/>
    <w:rsid w:val="009236C8"/>
    <w:rsid w:val="00A476F4"/>
    <w:rsid w:val="00AA128F"/>
    <w:rsid w:val="00AB04D1"/>
    <w:rsid w:val="00B10B92"/>
    <w:rsid w:val="00B347A8"/>
    <w:rsid w:val="00BC1468"/>
    <w:rsid w:val="00C6645D"/>
    <w:rsid w:val="00D07B38"/>
    <w:rsid w:val="00D51C5B"/>
    <w:rsid w:val="00EF2898"/>
    <w:rsid w:val="00F04616"/>
    <w:rsid w:val="00FB7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3"/>
        <o:r id="V:Rule2" type="callout" idref="#AutoShape 4"/>
        <o:r id="V:Rule3" type="callout" idref="#AutoShape 5"/>
        <o:r id="V:Rule4" type="callout" idref="#AutoShape 8"/>
        <o:r id="V:Rule5" type="callout" idref="#AutoShape 14"/>
        <o:r id="V:Rule6" type="callout" idref="#AutoShape 15"/>
        <o:r id="V:Rule7" type="callout" idref="#AutoShape 17"/>
        <o:r id="V:Rule8" type="callout" idref="#AutoShape 18"/>
        <o:r id="V:Rule9" type="callout" idref="#AutoShape 20"/>
        <o:r id="V:Rule10" type="callout"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AA0"/>
    <w:pPr>
      <w:widowControl w:val="0"/>
      <w:jc w:val="both"/>
    </w:pPr>
    <w:rPr>
      <w:rFonts w:ascii="Calibri" w:hAnsi="Calibri"/>
      <w:kern w:val="2"/>
      <w:sz w:val="21"/>
      <w:szCs w:val="22"/>
    </w:rPr>
  </w:style>
  <w:style w:type="paragraph" w:styleId="1">
    <w:name w:val="heading 1"/>
    <w:basedOn w:val="a"/>
    <w:next w:val="a"/>
    <w:link w:val="1Char"/>
    <w:qFormat/>
    <w:rsid w:val="000D7AA0"/>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D7AA0"/>
    <w:rPr>
      <w:b/>
      <w:bCs/>
      <w:kern w:val="44"/>
      <w:sz w:val="44"/>
      <w:szCs w:val="44"/>
    </w:rPr>
  </w:style>
  <w:style w:type="paragraph" w:styleId="a3">
    <w:name w:val="Body Text Indent"/>
    <w:basedOn w:val="a"/>
    <w:link w:val="Char"/>
    <w:rsid w:val="000D7AA0"/>
    <w:pPr>
      <w:spacing w:after="120"/>
      <w:ind w:leftChars="200" w:left="420"/>
    </w:pPr>
    <w:rPr>
      <w:rFonts w:ascii="Times New Roman" w:hAnsi="Times New Roman"/>
      <w:szCs w:val="24"/>
    </w:rPr>
  </w:style>
  <w:style w:type="character" w:customStyle="1" w:styleId="Char">
    <w:name w:val="正文文本缩进 Char"/>
    <w:basedOn w:val="a0"/>
    <w:link w:val="a3"/>
    <w:rsid w:val="000D7AA0"/>
    <w:rPr>
      <w:kern w:val="2"/>
      <w:sz w:val="21"/>
      <w:szCs w:val="24"/>
    </w:rPr>
  </w:style>
  <w:style w:type="paragraph" w:styleId="a4">
    <w:name w:val="List Paragraph"/>
    <w:basedOn w:val="a"/>
    <w:uiPriority w:val="34"/>
    <w:qFormat/>
    <w:rsid w:val="000D7A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2930</Characters>
  <Application>Microsoft Office Word</Application>
  <DocSecurity>0</DocSecurity>
  <Lines>24</Lines>
  <Paragraphs>6</Paragraphs>
  <ScaleCrop>false</ScaleCrop>
  <Company>微软中国</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1200401803</dc:creator>
  <cp:keywords/>
  <dc:description/>
  <cp:lastModifiedBy>1200401803</cp:lastModifiedBy>
  <cp:revision>1</cp:revision>
  <dcterms:created xsi:type="dcterms:W3CDTF">2015-07-11T00:40:00Z</dcterms:created>
  <dcterms:modified xsi:type="dcterms:W3CDTF">2015-07-11T00:41:00Z</dcterms:modified>
</cp:coreProperties>
</file>